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08A7B" w14:textId="77777777" w:rsidR="009239F7" w:rsidRPr="002F6A28" w:rsidRDefault="00EC4508" w:rsidP="002F6A28">
      <w:pPr>
        <w:pStyle w:val="Titre"/>
        <w:rPr>
          <w:caps w:val="0"/>
          <w:kern w:val="0"/>
        </w:rPr>
      </w:pPr>
      <w:r w:rsidRPr="002F6A28">
        <w:rPr>
          <w:caps w:val="0"/>
          <w:kern w:val="0"/>
        </w:rPr>
        <w:t>NOTIFICATION</w:t>
      </w:r>
    </w:p>
    <w:p w14:paraId="286D5CBD" w14:textId="77777777" w:rsidR="009239F7" w:rsidRPr="002F6A28" w:rsidRDefault="00EC4508" w:rsidP="002F6A28">
      <w:pPr>
        <w:jc w:val="center"/>
      </w:pPr>
      <w:r w:rsidRPr="002F6A28">
        <w:t>The following notification is being circulated in accordance with Article 10.6</w:t>
      </w:r>
    </w:p>
    <w:p w14:paraId="068B8027"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6D1690" w14:paraId="0875E447" w14:textId="77777777" w:rsidTr="0069259F">
        <w:tc>
          <w:tcPr>
            <w:tcW w:w="713" w:type="dxa"/>
            <w:tcBorders>
              <w:bottom w:val="single" w:sz="6" w:space="0" w:color="auto"/>
            </w:tcBorders>
            <w:shd w:val="clear" w:color="auto" w:fill="auto"/>
          </w:tcPr>
          <w:p w14:paraId="30C00234" w14:textId="77777777" w:rsidR="00F85C99" w:rsidRPr="002F6A28" w:rsidRDefault="00EC4508" w:rsidP="002F6A28">
            <w:pPr>
              <w:spacing w:before="120" w:after="120"/>
              <w:jc w:val="left"/>
            </w:pPr>
            <w:r w:rsidRPr="002F6A28">
              <w:rPr>
                <w:b/>
              </w:rPr>
              <w:t>1.</w:t>
            </w:r>
          </w:p>
        </w:tc>
        <w:tc>
          <w:tcPr>
            <w:tcW w:w="8546" w:type="dxa"/>
            <w:tcBorders>
              <w:bottom w:val="single" w:sz="6" w:space="0" w:color="auto"/>
            </w:tcBorders>
            <w:shd w:val="clear" w:color="auto" w:fill="auto"/>
          </w:tcPr>
          <w:p w14:paraId="51215AE8" w14:textId="77777777" w:rsidR="00F85C99" w:rsidRPr="002F6A28" w:rsidRDefault="00EC4508"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Viet Nam</w:t>
            </w:r>
            <w:bookmarkEnd w:id="1"/>
            <w:r w:rsidRPr="002F6A28">
              <w:t xml:space="preserve"> </w:t>
            </w:r>
          </w:p>
          <w:p w14:paraId="07A96434" w14:textId="77777777" w:rsidR="00F85C99" w:rsidRPr="002F6A28" w:rsidRDefault="00EC4508"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6D1690" w14:paraId="2A4934D2" w14:textId="77777777" w:rsidTr="0069259F">
        <w:tc>
          <w:tcPr>
            <w:tcW w:w="713" w:type="dxa"/>
            <w:tcBorders>
              <w:top w:val="single" w:sz="6" w:space="0" w:color="auto"/>
              <w:bottom w:val="single" w:sz="6" w:space="0" w:color="auto"/>
            </w:tcBorders>
            <w:shd w:val="clear" w:color="auto" w:fill="auto"/>
          </w:tcPr>
          <w:p w14:paraId="2DC332EA" w14:textId="77777777" w:rsidR="00F85C99" w:rsidRPr="002F6A28" w:rsidRDefault="00EC4508"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3484FA8C" w14:textId="77777777" w:rsidR="00F85C99" w:rsidRPr="002F6A28" w:rsidRDefault="00EC4508"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6C8CA7E5" w14:textId="65CD0DB9" w:rsidR="00526403" w:rsidRPr="002F6A28" w:rsidRDefault="00EC4508" w:rsidP="00155128">
            <w:pPr>
              <w:spacing w:before="120" w:after="120"/>
              <w:jc w:val="left"/>
            </w:pPr>
            <w:r w:rsidRPr="002F6A28">
              <w:t xml:space="preserve">Ministry of Agriculture and Rural Development </w:t>
            </w:r>
            <w:r w:rsidRPr="002F6A28">
              <w:br/>
              <w:t xml:space="preserve">Vietnam Administration of Forestry </w:t>
            </w:r>
            <w:r w:rsidRPr="002F6A28">
              <w:br/>
              <w:t xml:space="preserve">No. 2 Ngoc Ha street, Ba Dinh District, Hanoi, Vietnam </w:t>
            </w:r>
            <w:r w:rsidRPr="002F6A28">
              <w:br/>
              <w:t>Tel: (+84-24) 38438792</w:t>
            </w:r>
            <w:r w:rsidRPr="002F6A28">
              <w:br/>
              <w:t>Fax: (+84-24) 38438793</w:t>
            </w:r>
            <w:r w:rsidRPr="002F6A28">
              <w:br/>
              <w:t xml:space="preserve">Website: </w:t>
            </w:r>
            <w:hyperlink r:id="rId7" w:history="1">
              <w:r w:rsidRPr="002F6A28">
                <w:rPr>
                  <w:color w:val="0000FF"/>
                  <w:u w:val="single"/>
                </w:rPr>
                <w:t>http://tongcuclamnghiep.gov.vn/</w:t>
              </w:r>
            </w:hyperlink>
            <w:bookmarkEnd w:id="5"/>
          </w:p>
          <w:p w14:paraId="6B11F0A1" w14:textId="77777777" w:rsidR="00F85C99" w:rsidRPr="002F6A28" w:rsidRDefault="00EC4508"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6D1690" w14:paraId="61EAF584" w14:textId="77777777" w:rsidTr="0069259F">
        <w:tc>
          <w:tcPr>
            <w:tcW w:w="713" w:type="dxa"/>
            <w:tcBorders>
              <w:top w:val="single" w:sz="6" w:space="0" w:color="auto"/>
              <w:bottom w:val="single" w:sz="6" w:space="0" w:color="auto"/>
            </w:tcBorders>
            <w:shd w:val="clear" w:color="auto" w:fill="auto"/>
          </w:tcPr>
          <w:p w14:paraId="557C1828" w14:textId="77777777" w:rsidR="00F85C99" w:rsidRPr="002F6A28" w:rsidRDefault="00EC4508"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14B79565" w14:textId="77777777" w:rsidR="00F85C99" w:rsidRPr="0058336F" w:rsidRDefault="00EC4508"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6D1690" w14:paraId="44BFC2FB" w14:textId="77777777" w:rsidTr="0069259F">
        <w:tc>
          <w:tcPr>
            <w:tcW w:w="713" w:type="dxa"/>
            <w:tcBorders>
              <w:top w:val="single" w:sz="6" w:space="0" w:color="auto"/>
              <w:bottom w:val="single" w:sz="6" w:space="0" w:color="auto"/>
            </w:tcBorders>
            <w:shd w:val="clear" w:color="auto" w:fill="auto"/>
          </w:tcPr>
          <w:p w14:paraId="0DD9C124" w14:textId="77777777" w:rsidR="00F85C99" w:rsidRPr="002F6A28" w:rsidRDefault="00EC4508"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75D3430A" w14:textId="6CEF472E" w:rsidR="00F85C99" w:rsidRPr="002F6A28" w:rsidRDefault="00EC4508"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Paints and varnishes (including enamels and lacquers) based on synthetic polymers or chemically modified natural polymers, dispersed or dissolved in a non-aqueous medium; solutions as defined in Note 4 to this Chapter (HS 3208)</w:t>
            </w:r>
            <w:bookmarkStart w:id="20" w:name="sps3a"/>
            <w:bookmarkEnd w:id="20"/>
          </w:p>
        </w:tc>
      </w:tr>
      <w:tr w:rsidR="006D1690" w14:paraId="1AB36BD5" w14:textId="77777777" w:rsidTr="0069259F">
        <w:tc>
          <w:tcPr>
            <w:tcW w:w="713" w:type="dxa"/>
            <w:tcBorders>
              <w:top w:val="single" w:sz="6" w:space="0" w:color="auto"/>
              <w:bottom w:val="single" w:sz="6" w:space="0" w:color="auto"/>
            </w:tcBorders>
            <w:shd w:val="clear" w:color="auto" w:fill="auto"/>
          </w:tcPr>
          <w:p w14:paraId="0BA7E3D7" w14:textId="77777777" w:rsidR="00F85C99" w:rsidRPr="002F6A28" w:rsidRDefault="00EC4508"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42DC5B9D" w14:textId="77777777" w:rsidR="00F85C99" w:rsidRPr="002F6A28" w:rsidRDefault="00EC4508"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The draft National technical regulation on wood paints and varnishes. Part 1. PU paints and varnishes (Polyurethane) (17 page(s), in Vietnamese)</w:t>
            </w:r>
            <w:bookmarkStart w:id="22" w:name="sps5a"/>
            <w:bookmarkStart w:id="23" w:name="sps5c"/>
            <w:bookmarkStart w:id="24" w:name="sps5b"/>
            <w:bookmarkEnd w:id="22"/>
            <w:bookmarkEnd w:id="23"/>
            <w:bookmarkEnd w:id="24"/>
          </w:p>
        </w:tc>
      </w:tr>
      <w:tr w:rsidR="006D1690" w14:paraId="48F6EA1F" w14:textId="77777777" w:rsidTr="0069259F">
        <w:tc>
          <w:tcPr>
            <w:tcW w:w="713" w:type="dxa"/>
            <w:tcBorders>
              <w:top w:val="single" w:sz="6" w:space="0" w:color="auto"/>
              <w:bottom w:val="single" w:sz="6" w:space="0" w:color="auto"/>
            </w:tcBorders>
            <w:shd w:val="clear" w:color="auto" w:fill="auto"/>
          </w:tcPr>
          <w:p w14:paraId="703C7D07" w14:textId="77777777" w:rsidR="00F85C99" w:rsidRPr="002F6A28" w:rsidRDefault="00EC4508"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5B956DA7" w14:textId="77777777" w:rsidR="00F85C99" w:rsidRPr="002F6A28" w:rsidRDefault="00EC4508"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The draft national technical regulation on wood paints and varnishes. Part 1. PU paints and varnishes (Polyurethane) specifies the technical and managerial requirements for wood paints and varnishes. Part 1. PU paints and varnishes (Polyurethane).</w:t>
            </w:r>
          </w:p>
          <w:p w14:paraId="0E9C801B" w14:textId="77777777" w:rsidR="00FE448B" w:rsidRPr="00C379C8" w:rsidRDefault="00EC4508" w:rsidP="002F6A28">
            <w:pPr>
              <w:spacing w:after="120"/>
            </w:pPr>
            <w:r w:rsidRPr="00C379C8">
              <w:t>This draft technical regulation does not apply to wood paints and varnishes which are used as testing samples, product samples, displaying samples, temporarily imported for exported and in transit.</w:t>
            </w:r>
          </w:p>
          <w:p w14:paraId="24EB3685" w14:textId="77777777" w:rsidR="00FE448B" w:rsidRPr="00C379C8" w:rsidRDefault="00EC4508" w:rsidP="002F6A28">
            <w:pPr>
              <w:spacing w:after="120"/>
            </w:pPr>
            <w:r w:rsidRPr="00C379C8">
              <w:t>This draft technical regulation applies to:</w:t>
            </w:r>
          </w:p>
          <w:p w14:paraId="6E975452" w14:textId="77777777" w:rsidR="00FE448B" w:rsidRPr="00C379C8" w:rsidRDefault="00EC4508" w:rsidP="00EC4508">
            <w:pPr>
              <w:numPr>
                <w:ilvl w:val="0"/>
                <w:numId w:val="16"/>
              </w:numPr>
              <w:spacing w:before="120" w:after="120"/>
              <w:ind w:left="846" w:hanging="284"/>
            </w:pPr>
            <w:r w:rsidRPr="00C379C8">
              <w:t>Domestic and foreign organizations, individuals manufacturing, processing, trading, exporting and importing food grade salt in the territory of Vietnam;</w:t>
            </w:r>
          </w:p>
          <w:p w14:paraId="3E8ABCFC" w14:textId="77777777" w:rsidR="00FE448B" w:rsidRPr="00C379C8" w:rsidRDefault="00EC4508" w:rsidP="00EC4508">
            <w:pPr>
              <w:numPr>
                <w:ilvl w:val="0"/>
                <w:numId w:val="16"/>
              </w:numPr>
              <w:spacing w:before="120" w:after="120"/>
              <w:ind w:left="846" w:hanging="284"/>
            </w:pPr>
            <w:r w:rsidRPr="00C379C8">
              <w:t>State management agencies, concerned organizations and individuals.</w:t>
            </w:r>
          </w:p>
          <w:p w14:paraId="6B80D84D" w14:textId="77777777" w:rsidR="00FE448B" w:rsidRPr="00C379C8" w:rsidRDefault="00EC4508" w:rsidP="002F6A28">
            <w:pPr>
              <w:spacing w:after="120"/>
            </w:pPr>
            <w:r w:rsidRPr="00C379C8">
              <w:t>This draft technical regulation stipulates the responsibilities of organizations, individuals and implementing organizations of managing agencies.</w:t>
            </w:r>
          </w:p>
        </w:tc>
      </w:tr>
      <w:tr w:rsidR="006D1690" w14:paraId="5DA6B12C" w14:textId="77777777" w:rsidTr="0069259F">
        <w:tc>
          <w:tcPr>
            <w:tcW w:w="713" w:type="dxa"/>
            <w:tcBorders>
              <w:top w:val="single" w:sz="6" w:space="0" w:color="auto"/>
              <w:bottom w:val="single" w:sz="6" w:space="0" w:color="auto"/>
            </w:tcBorders>
            <w:shd w:val="clear" w:color="auto" w:fill="auto"/>
          </w:tcPr>
          <w:p w14:paraId="438093AF" w14:textId="77777777" w:rsidR="00F85C99" w:rsidRPr="002F6A28" w:rsidRDefault="00EC4508" w:rsidP="00C87C05">
            <w:pPr>
              <w:keepNext/>
              <w:keepLines/>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14:paraId="36AE740C" w14:textId="77777777" w:rsidR="00F85C99" w:rsidRPr="002F6A28" w:rsidRDefault="00EC4508" w:rsidP="00C87C05">
            <w:pPr>
              <w:keepNext/>
              <w:keepLines/>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Protection of human health or safety</w:t>
            </w:r>
            <w:bookmarkStart w:id="27" w:name="sps7f"/>
            <w:bookmarkEnd w:id="27"/>
          </w:p>
        </w:tc>
      </w:tr>
      <w:tr w:rsidR="006D1690" w14:paraId="6FBA5336" w14:textId="77777777" w:rsidTr="0069259F">
        <w:tc>
          <w:tcPr>
            <w:tcW w:w="713" w:type="dxa"/>
            <w:tcBorders>
              <w:top w:val="single" w:sz="6" w:space="0" w:color="auto"/>
              <w:bottom w:val="single" w:sz="6" w:space="0" w:color="auto"/>
            </w:tcBorders>
            <w:shd w:val="clear" w:color="auto" w:fill="auto"/>
          </w:tcPr>
          <w:p w14:paraId="5EE7C364" w14:textId="77777777" w:rsidR="00F85C99" w:rsidRPr="002F6A28" w:rsidRDefault="00EC4508"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7C3FCE6F" w14:textId="77777777" w:rsidR="00072B36" w:rsidRPr="002F6A28" w:rsidRDefault="00EC4508"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14:paraId="36DF62E0" w14:textId="77777777" w:rsidR="00526403" w:rsidRPr="002F6A28" w:rsidRDefault="00EC4508" w:rsidP="00EC4508">
            <w:pPr>
              <w:numPr>
                <w:ilvl w:val="0"/>
                <w:numId w:val="17"/>
              </w:numPr>
              <w:spacing w:before="120" w:after="120"/>
              <w:ind w:left="562" w:hanging="425"/>
              <w:rPr>
                <w:bCs/>
              </w:rPr>
            </w:pPr>
            <w:r w:rsidRPr="002F6A28">
              <w:rPr>
                <w:bCs/>
              </w:rPr>
              <w:t>TCVN 2090: 2015 (ISO 15528: 2013). Paints, varnishes and raw materials for paints and varnishes - Sampling.</w:t>
            </w:r>
          </w:p>
          <w:p w14:paraId="32E0EA3E" w14:textId="77777777" w:rsidR="00526403" w:rsidRPr="002F6A28" w:rsidRDefault="00EC4508" w:rsidP="00EC4508">
            <w:pPr>
              <w:numPr>
                <w:ilvl w:val="0"/>
                <w:numId w:val="17"/>
              </w:numPr>
              <w:spacing w:before="120" w:after="120"/>
              <w:ind w:left="562" w:hanging="425"/>
              <w:rPr>
                <w:bCs/>
              </w:rPr>
            </w:pPr>
            <w:r w:rsidRPr="002F6A28">
              <w:rPr>
                <w:bCs/>
              </w:rPr>
              <w:t>TCVN 2101:2016.  Paints and varnishes - Determination of gloss value at 20°, 60° and 85°.</w:t>
            </w:r>
          </w:p>
          <w:p w14:paraId="79870F35" w14:textId="77777777" w:rsidR="00526403" w:rsidRPr="002F6A28" w:rsidRDefault="00EC4508" w:rsidP="00EC4508">
            <w:pPr>
              <w:numPr>
                <w:ilvl w:val="0"/>
                <w:numId w:val="17"/>
              </w:numPr>
              <w:spacing w:before="120" w:after="120"/>
              <w:ind w:left="562" w:hanging="425"/>
              <w:rPr>
                <w:bCs/>
              </w:rPr>
            </w:pPr>
            <w:r w:rsidRPr="002F6A28">
              <w:rPr>
                <w:bCs/>
              </w:rPr>
              <w:t>TCVN 10370-2: 2014. Paints and varnishes - Determination of volatile organic compound (VOC) content- Part 2: Gas-chromatographic method</w:t>
            </w:r>
          </w:p>
          <w:p w14:paraId="4D5F576B" w14:textId="77777777" w:rsidR="00526403" w:rsidRPr="002F6A28" w:rsidRDefault="00EC4508" w:rsidP="00EC4508">
            <w:pPr>
              <w:numPr>
                <w:ilvl w:val="0"/>
                <w:numId w:val="17"/>
              </w:numPr>
              <w:spacing w:before="120" w:after="120"/>
              <w:ind w:left="562" w:hanging="425"/>
              <w:rPr>
                <w:bCs/>
              </w:rPr>
            </w:pPr>
            <w:r w:rsidRPr="002F6A28">
              <w:rPr>
                <w:bCs/>
              </w:rPr>
              <w:t>ISO 4618: 2014. Paints and varnishes – Terms and definitions.</w:t>
            </w:r>
          </w:p>
          <w:p w14:paraId="5DA984C0" w14:textId="77777777" w:rsidR="00526403" w:rsidRPr="002F6A28" w:rsidRDefault="00EC4508" w:rsidP="00EC4508">
            <w:pPr>
              <w:numPr>
                <w:ilvl w:val="0"/>
                <w:numId w:val="17"/>
              </w:numPr>
              <w:spacing w:before="120" w:after="120"/>
              <w:ind w:left="562" w:hanging="425"/>
              <w:rPr>
                <w:bCs/>
              </w:rPr>
            </w:pPr>
            <w:r w:rsidRPr="002F6A28">
              <w:rPr>
                <w:bCs/>
              </w:rPr>
              <w:t>ASTM D3960 – 05 (Reapproved 2018). Standard Practice for Determining Volatile Organic Compound (VOC) Content of Paints and Related Coatings.</w:t>
            </w:r>
          </w:p>
          <w:p w14:paraId="4B56B4A2" w14:textId="77777777" w:rsidR="00526403" w:rsidRPr="002F6A28" w:rsidRDefault="00EC4508" w:rsidP="00EC4508">
            <w:pPr>
              <w:numPr>
                <w:ilvl w:val="0"/>
                <w:numId w:val="17"/>
              </w:numPr>
              <w:spacing w:before="120" w:after="120"/>
              <w:ind w:left="562" w:hanging="425"/>
              <w:rPr>
                <w:bCs/>
              </w:rPr>
            </w:pPr>
            <w:r w:rsidRPr="002F6A28">
              <w:rPr>
                <w:bCs/>
              </w:rPr>
              <w:t>CPSC-CH-E1003-09.1 Standard Operating Procedure for Determining Lead (Pb) in Paint and Other Similar Surface Coatings. February 25, 2011.</w:t>
            </w:r>
          </w:p>
          <w:p w14:paraId="585C807E" w14:textId="77777777" w:rsidR="00526403" w:rsidRPr="002F6A28" w:rsidRDefault="00EC4508" w:rsidP="00EC4508">
            <w:pPr>
              <w:numPr>
                <w:ilvl w:val="0"/>
                <w:numId w:val="17"/>
              </w:numPr>
              <w:spacing w:before="120" w:after="120"/>
              <w:ind w:left="562" w:hanging="425"/>
              <w:rPr>
                <w:bCs/>
              </w:rPr>
            </w:pPr>
            <w:r w:rsidRPr="002F6A28">
              <w:rPr>
                <w:bCs/>
              </w:rPr>
              <w:t>Directive 2004/42/CE of the European Parliament and of the Council of 21 April 2004 on the limitation of emissions of volatile organic compounds due to the use of organic solvents in certain paints and varnishes and vehicle refinishing products and amending Directive 1999/13/EC.</w:t>
            </w:r>
          </w:p>
        </w:tc>
      </w:tr>
      <w:tr w:rsidR="006D1690" w14:paraId="55AA8FFF" w14:textId="77777777" w:rsidTr="00AE6CC8">
        <w:trPr>
          <w:cantSplit/>
        </w:trPr>
        <w:tc>
          <w:tcPr>
            <w:tcW w:w="713" w:type="dxa"/>
            <w:tcBorders>
              <w:top w:val="single" w:sz="6" w:space="0" w:color="auto"/>
              <w:bottom w:val="single" w:sz="6" w:space="0" w:color="auto"/>
            </w:tcBorders>
            <w:shd w:val="clear" w:color="auto" w:fill="auto"/>
          </w:tcPr>
          <w:p w14:paraId="5A173EF8" w14:textId="77777777" w:rsidR="00EE3A11" w:rsidRPr="002F6A28" w:rsidRDefault="00EC4508"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48D78FC7" w14:textId="77777777" w:rsidR="00EE3A11" w:rsidRPr="002F6A28" w:rsidRDefault="00EC4508"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June 2020</w:t>
            </w:r>
            <w:bookmarkEnd w:id="31"/>
          </w:p>
          <w:p w14:paraId="10B39D69" w14:textId="77777777" w:rsidR="00EE3A11" w:rsidRPr="002F6A28" w:rsidRDefault="00EC4508"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December 2020</w:t>
            </w:r>
            <w:bookmarkEnd w:id="34"/>
          </w:p>
        </w:tc>
      </w:tr>
      <w:tr w:rsidR="006D1690" w14:paraId="14CC8DF9" w14:textId="77777777" w:rsidTr="0069259F">
        <w:tc>
          <w:tcPr>
            <w:tcW w:w="713" w:type="dxa"/>
            <w:tcBorders>
              <w:top w:val="single" w:sz="6" w:space="0" w:color="auto"/>
              <w:bottom w:val="single" w:sz="6" w:space="0" w:color="auto"/>
            </w:tcBorders>
            <w:shd w:val="clear" w:color="auto" w:fill="auto"/>
          </w:tcPr>
          <w:p w14:paraId="0B631516" w14:textId="77777777" w:rsidR="00F85C99" w:rsidRPr="002F6A28" w:rsidRDefault="00EC4508"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732CB299" w14:textId="77777777" w:rsidR="00F85C99" w:rsidRPr="002F6A28" w:rsidRDefault="00EC4508"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6D1690" w14:paraId="0588B94B" w14:textId="77777777" w:rsidTr="0069259F">
        <w:tc>
          <w:tcPr>
            <w:tcW w:w="713" w:type="dxa"/>
            <w:tcBorders>
              <w:top w:val="single" w:sz="6" w:space="0" w:color="auto"/>
            </w:tcBorders>
            <w:shd w:val="clear" w:color="auto" w:fill="auto"/>
          </w:tcPr>
          <w:p w14:paraId="066F3CA3" w14:textId="77777777" w:rsidR="00F85C99" w:rsidRPr="002F6A28" w:rsidRDefault="00EC4508"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7475EF03" w14:textId="77777777" w:rsidR="00F85C99" w:rsidRPr="002F6A28" w:rsidRDefault="00EC4508"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6B5F2FF6" w14:textId="77777777" w:rsidR="00526403" w:rsidRPr="002F6A28" w:rsidRDefault="00EC4508" w:rsidP="00B16145">
            <w:pPr>
              <w:keepNext/>
              <w:keepLines/>
              <w:spacing w:before="120" w:after="120"/>
              <w:jc w:val="left"/>
            </w:pPr>
            <w:r w:rsidRPr="002F6A28">
              <w:t>Ministry of Agriculture and Rural Development</w:t>
            </w:r>
            <w:r w:rsidRPr="002F6A28">
              <w:br/>
              <w:t xml:space="preserve">Vietnam Administration of Forestry </w:t>
            </w:r>
            <w:r w:rsidRPr="002F6A28">
              <w:br/>
              <w:t xml:space="preserve">No. 2 Ngoc Ha street, Ba Dinh District, Hanoi, Vietnam </w:t>
            </w:r>
            <w:r w:rsidRPr="002F6A28">
              <w:br/>
              <w:t>Tel: (+84-24) 38438792</w:t>
            </w:r>
            <w:r w:rsidRPr="002F6A28">
              <w:br/>
              <w:t>Fax: (+84-24) 38438793</w:t>
            </w:r>
            <w:r w:rsidRPr="002F6A28">
              <w:br/>
              <w:t xml:space="preserve">Website: </w:t>
            </w:r>
            <w:hyperlink r:id="rId8" w:history="1">
              <w:r w:rsidRPr="002F6A28">
                <w:rPr>
                  <w:color w:val="0000FF"/>
                  <w:u w:val="single"/>
                </w:rPr>
                <w:t>http://tongcuclamnghiep.gov.vn</w:t>
              </w:r>
            </w:hyperlink>
            <w:r w:rsidRPr="002F6A28">
              <w:t xml:space="preserve"> </w:t>
            </w:r>
          </w:p>
          <w:p w14:paraId="3DBFE388" w14:textId="77777777" w:rsidR="00526403" w:rsidRPr="002F6A28" w:rsidRDefault="000E0CCB" w:rsidP="00B16145">
            <w:pPr>
              <w:keepNext/>
              <w:keepLines/>
              <w:spacing w:before="120" w:after="120"/>
            </w:pPr>
            <w:hyperlink r:id="rId9" w:history="1">
              <w:r w:rsidR="00C87C05" w:rsidRPr="002F6A28">
                <w:rPr>
                  <w:color w:val="0000FF"/>
                  <w:u w:val="single"/>
                </w:rPr>
                <w:t>https://members.wto.org/crnattachments/2020/TBT/VNM/20_1238_00_x.pdf</w:t>
              </w:r>
            </w:hyperlink>
            <w:bookmarkEnd w:id="40"/>
          </w:p>
        </w:tc>
      </w:tr>
    </w:tbl>
    <w:p w14:paraId="69392066" w14:textId="77777777" w:rsidR="00EE3A11" w:rsidRPr="002F6A28" w:rsidRDefault="00EE3A11" w:rsidP="002F6A28"/>
    <w:sectPr w:rsidR="00EE3A11" w:rsidRPr="002F6A28" w:rsidSect="00760DB3">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1E1F0" w14:textId="77777777" w:rsidR="002E62C2" w:rsidRDefault="00EC4508">
      <w:r>
        <w:separator/>
      </w:r>
    </w:p>
  </w:endnote>
  <w:endnote w:type="continuationSeparator" w:id="0">
    <w:p w14:paraId="7E7AD160" w14:textId="77777777" w:rsidR="002E62C2" w:rsidRDefault="00EC4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5F6D0" w14:textId="77777777" w:rsidR="009239F7" w:rsidRPr="002F6A28" w:rsidRDefault="00EC4508" w:rsidP="009239F7">
    <w:pPr>
      <w:pStyle w:val="Pieddepage"/>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5CE56" w14:textId="77777777" w:rsidR="009239F7" w:rsidRPr="002F6A28" w:rsidRDefault="00EC4508" w:rsidP="009239F7">
    <w:pPr>
      <w:pStyle w:val="Pieddepage"/>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D5621" w14:textId="77777777" w:rsidR="00EE3A11" w:rsidRPr="002F6A28" w:rsidRDefault="00EC4508">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E0FAD" w14:textId="77777777" w:rsidR="002E62C2" w:rsidRDefault="00EC4508">
      <w:r>
        <w:separator/>
      </w:r>
    </w:p>
  </w:footnote>
  <w:footnote w:type="continuationSeparator" w:id="0">
    <w:p w14:paraId="2DE93525" w14:textId="77777777" w:rsidR="002E62C2" w:rsidRDefault="00EC45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8E241" w14:textId="77777777" w:rsidR="009239F7" w:rsidRPr="002F6A28" w:rsidRDefault="00EC4508" w:rsidP="009239F7">
    <w:pPr>
      <w:pStyle w:val="En-tte"/>
      <w:pBdr>
        <w:bottom w:val="single" w:sz="4" w:space="1" w:color="auto"/>
      </w:pBdr>
      <w:tabs>
        <w:tab w:val="clear" w:pos="4513"/>
        <w:tab w:val="clear" w:pos="9027"/>
      </w:tabs>
      <w:jc w:val="center"/>
    </w:pPr>
    <w:r w:rsidRPr="002F6A28">
      <w:t>tbtSymbol</w:t>
    </w:r>
  </w:p>
  <w:p w14:paraId="097CAF48" w14:textId="77777777" w:rsidR="009239F7" w:rsidRPr="002F6A28" w:rsidRDefault="009239F7" w:rsidP="009239F7">
    <w:pPr>
      <w:pStyle w:val="En-tte"/>
      <w:pBdr>
        <w:bottom w:val="single" w:sz="4" w:space="1" w:color="auto"/>
      </w:pBdr>
      <w:tabs>
        <w:tab w:val="clear" w:pos="4513"/>
        <w:tab w:val="clear" w:pos="9027"/>
      </w:tabs>
      <w:jc w:val="center"/>
    </w:pPr>
  </w:p>
  <w:p w14:paraId="0F5D2491" w14:textId="77777777" w:rsidR="009239F7" w:rsidRPr="002F6A28" w:rsidRDefault="00EC4508"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03508620" w14:textId="77777777" w:rsidR="009239F7" w:rsidRPr="002F6A28" w:rsidRDefault="009239F7" w:rsidP="009239F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E74B5" w14:textId="77777777" w:rsidR="009239F7" w:rsidRPr="002F6A28" w:rsidRDefault="00EC4508" w:rsidP="009239F7">
    <w:pPr>
      <w:pStyle w:val="En-tte"/>
      <w:pBdr>
        <w:bottom w:val="single" w:sz="4" w:space="1" w:color="auto"/>
      </w:pBdr>
      <w:tabs>
        <w:tab w:val="clear" w:pos="4513"/>
        <w:tab w:val="clear" w:pos="9027"/>
      </w:tabs>
      <w:jc w:val="center"/>
    </w:pPr>
    <w:bookmarkStart w:id="41" w:name="spsSymbolHeader"/>
    <w:r w:rsidRPr="002F6A28">
      <w:t>G/TBT/N/VNM/159</w:t>
    </w:r>
    <w:bookmarkEnd w:id="41"/>
  </w:p>
  <w:p w14:paraId="155FF01D" w14:textId="77777777" w:rsidR="009239F7" w:rsidRPr="002F6A28" w:rsidRDefault="009239F7" w:rsidP="009239F7">
    <w:pPr>
      <w:pStyle w:val="En-tte"/>
      <w:pBdr>
        <w:bottom w:val="single" w:sz="4" w:space="1" w:color="auto"/>
      </w:pBdr>
      <w:tabs>
        <w:tab w:val="clear" w:pos="4513"/>
        <w:tab w:val="clear" w:pos="9027"/>
      </w:tabs>
      <w:jc w:val="center"/>
    </w:pPr>
  </w:p>
  <w:p w14:paraId="1C8B5065" w14:textId="77777777" w:rsidR="009239F7" w:rsidRPr="002F6A28" w:rsidRDefault="00EC4508"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2797ED96" w14:textId="77777777" w:rsidR="009239F7" w:rsidRPr="002F6A28" w:rsidRDefault="009239F7" w:rsidP="009239F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D1690" w14:paraId="24A6AB74" w14:textId="77777777" w:rsidTr="008612A9">
      <w:trPr>
        <w:trHeight w:val="240"/>
        <w:jc w:val="center"/>
      </w:trPr>
      <w:tc>
        <w:tcPr>
          <w:tcW w:w="3794" w:type="dxa"/>
          <w:shd w:val="clear" w:color="auto" w:fill="FFFFFF"/>
          <w:tcMar>
            <w:left w:w="108" w:type="dxa"/>
            <w:right w:w="108" w:type="dxa"/>
          </w:tcMar>
          <w:vAlign w:val="center"/>
        </w:tcPr>
        <w:p w14:paraId="6608C1BC"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78FD3351" w14:textId="77777777" w:rsidR="00ED54E0" w:rsidRPr="009239F7" w:rsidRDefault="00ED54E0" w:rsidP="00B801E9">
          <w:pPr>
            <w:jc w:val="right"/>
            <w:rPr>
              <w:b/>
              <w:color w:val="FF0000"/>
              <w:szCs w:val="16"/>
            </w:rPr>
          </w:pPr>
        </w:p>
      </w:tc>
    </w:tr>
    <w:bookmarkEnd w:id="42"/>
    <w:tr w:rsidR="006D1690" w14:paraId="72439EC1" w14:textId="77777777" w:rsidTr="008612A9">
      <w:trPr>
        <w:trHeight w:val="213"/>
        <w:jc w:val="center"/>
      </w:trPr>
      <w:tc>
        <w:tcPr>
          <w:tcW w:w="3794" w:type="dxa"/>
          <w:vMerge w:val="restart"/>
          <w:shd w:val="clear" w:color="auto" w:fill="FFFFFF"/>
          <w:tcMar>
            <w:left w:w="0" w:type="dxa"/>
            <w:right w:w="0" w:type="dxa"/>
          </w:tcMar>
        </w:tcPr>
        <w:p w14:paraId="290C52E4" w14:textId="77777777" w:rsidR="00ED54E0" w:rsidRPr="009239F7" w:rsidRDefault="000E0CCB" w:rsidP="00B801E9">
          <w:pPr>
            <w:jc w:val="left"/>
          </w:pPr>
          <w:r>
            <w:rPr>
              <w:lang w:eastAsia="en-GB"/>
            </w:rPr>
            <w:pict w14:anchorId="70FE14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1pt;height:56.45pt;visibility:visible">
                <v:imagedata r:id="rId1" o:title=""/>
              </v:shape>
            </w:pict>
          </w:r>
        </w:p>
      </w:tc>
      <w:tc>
        <w:tcPr>
          <w:tcW w:w="5448" w:type="dxa"/>
          <w:gridSpan w:val="2"/>
          <w:shd w:val="clear" w:color="auto" w:fill="FFFFFF"/>
          <w:tcMar>
            <w:left w:w="108" w:type="dxa"/>
            <w:right w:w="108" w:type="dxa"/>
          </w:tcMar>
        </w:tcPr>
        <w:p w14:paraId="58D4AED2" w14:textId="77777777" w:rsidR="00ED54E0" w:rsidRPr="009239F7" w:rsidRDefault="00ED54E0" w:rsidP="00B801E9">
          <w:pPr>
            <w:jc w:val="right"/>
            <w:rPr>
              <w:b/>
              <w:szCs w:val="16"/>
            </w:rPr>
          </w:pPr>
        </w:p>
      </w:tc>
    </w:tr>
    <w:tr w:rsidR="006D1690" w14:paraId="7712497A" w14:textId="77777777" w:rsidTr="008612A9">
      <w:trPr>
        <w:trHeight w:val="868"/>
        <w:jc w:val="center"/>
      </w:trPr>
      <w:tc>
        <w:tcPr>
          <w:tcW w:w="3794" w:type="dxa"/>
          <w:vMerge/>
          <w:shd w:val="clear" w:color="auto" w:fill="FFFFFF"/>
          <w:tcMar>
            <w:left w:w="108" w:type="dxa"/>
            <w:right w:w="108" w:type="dxa"/>
          </w:tcMar>
        </w:tcPr>
        <w:p w14:paraId="272E449B"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350AB6C4" w14:textId="77777777" w:rsidR="009239F7" w:rsidRPr="002F6A28" w:rsidRDefault="00EC4508" w:rsidP="00B801E9">
          <w:pPr>
            <w:jc w:val="right"/>
            <w:rPr>
              <w:b/>
              <w:szCs w:val="16"/>
            </w:rPr>
          </w:pPr>
          <w:bookmarkStart w:id="43" w:name="bmkSymbols"/>
          <w:r w:rsidRPr="002F6A28">
            <w:rPr>
              <w:b/>
              <w:szCs w:val="16"/>
            </w:rPr>
            <w:t>G/TBT/N/VNM/159</w:t>
          </w:r>
          <w:bookmarkEnd w:id="43"/>
        </w:p>
      </w:tc>
    </w:tr>
    <w:tr w:rsidR="006D1690" w14:paraId="6AA8B1FC" w14:textId="77777777" w:rsidTr="008612A9">
      <w:trPr>
        <w:trHeight w:val="240"/>
        <w:jc w:val="center"/>
      </w:trPr>
      <w:tc>
        <w:tcPr>
          <w:tcW w:w="3794" w:type="dxa"/>
          <w:vMerge/>
          <w:shd w:val="clear" w:color="auto" w:fill="FFFFFF"/>
          <w:tcMar>
            <w:left w:w="108" w:type="dxa"/>
            <w:right w:w="108" w:type="dxa"/>
          </w:tcMar>
          <w:vAlign w:val="center"/>
        </w:tcPr>
        <w:p w14:paraId="1399CA14" w14:textId="77777777" w:rsidR="00ED54E0" w:rsidRPr="009239F7" w:rsidRDefault="00ED54E0" w:rsidP="00B801E9"/>
      </w:tc>
      <w:tc>
        <w:tcPr>
          <w:tcW w:w="5448" w:type="dxa"/>
          <w:gridSpan w:val="2"/>
          <w:shd w:val="clear" w:color="auto" w:fill="FFFFFF"/>
          <w:tcMar>
            <w:left w:w="108" w:type="dxa"/>
            <w:right w:w="108" w:type="dxa"/>
          </w:tcMar>
          <w:vAlign w:val="center"/>
        </w:tcPr>
        <w:p w14:paraId="0DEA2561" w14:textId="6123ACDA" w:rsidR="00ED54E0" w:rsidRPr="009239F7" w:rsidRDefault="00EC4508" w:rsidP="00B801E9">
          <w:pPr>
            <w:jc w:val="right"/>
            <w:rPr>
              <w:szCs w:val="16"/>
            </w:rPr>
          </w:pPr>
          <w:bookmarkStart w:id="44" w:name="spsDateDistribution"/>
          <w:bookmarkStart w:id="45" w:name="bmkDate"/>
          <w:bookmarkEnd w:id="44"/>
          <w:bookmarkEnd w:id="45"/>
          <w:r>
            <w:rPr>
              <w:szCs w:val="16"/>
            </w:rPr>
            <w:t xml:space="preserve">17 February 2020 </w:t>
          </w:r>
        </w:p>
      </w:tc>
    </w:tr>
    <w:tr w:rsidR="006D1690" w14:paraId="310273BC"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4C0EFC7" w14:textId="6D9DFDB1" w:rsidR="00ED54E0" w:rsidRPr="009239F7" w:rsidRDefault="00EC4508" w:rsidP="0097650D">
          <w:pPr>
            <w:jc w:val="left"/>
            <w:rPr>
              <w:b/>
            </w:rPr>
          </w:pPr>
          <w:bookmarkStart w:id="46" w:name="bmkSerial"/>
          <w:r w:rsidRPr="002F6A28">
            <w:rPr>
              <w:color w:val="FF0000"/>
              <w:szCs w:val="16"/>
            </w:rPr>
            <w:t>(</w:t>
          </w:r>
          <w:bookmarkStart w:id="47" w:name="spsSerialNumber"/>
          <w:bookmarkEnd w:id="47"/>
          <w:r>
            <w:rPr>
              <w:color w:val="FF0000"/>
              <w:szCs w:val="16"/>
            </w:rPr>
            <w:t>20-</w:t>
          </w:r>
          <w:r w:rsidR="000E0CCB">
            <w:rPr>
              <w:color w:val="FF0000"/>
              <w:szCs w:val="16"/>
            </w:rPr>
            <w:t>1211</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58BBA053" w14:textId="77777777" w:rsidR="00ED54E0" w:rsidRPr="009239F7" w:rsidRDefault="00EC4508"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6D1690" w14:paraId="1F2277EC"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61EB622" w14:textId="77777777" w:rsidR="00ED54E0" w:rsidRPr="009239F7" w:rsidRDefault="00EC4508"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14:paraId="233E1118" w14:textId="77777777" w:rsidR="00ED54E0" w:rsidRPr="002F6A28" w:rsidRDefault="00EC4508"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14:paraId="085F670A" w14:textId="77777777"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996F9D8">
      <w:start w:val="1"/>
      <w:numFmt w:val="decimal"/>
      <w:pStyle w:val="SummaryText"/>
      <w:lvlText w:val="%1."/>
      <w:lvlJc w:val="left"/>
      <w:pPr>
        <w:ind w:left="360" w:hanging="360"/>
      </w:pPr>
    </w:lvl>
    <w:lvl w:ilvl="1" w:tplc="6C1E2790" w:tentative="1">
      <w:start w:val="1"/>
      <w:numFmt w:val="lowerLetter"/>
      <w:lvlText w:val="%2."/>
      <w:lvlJc w:val="left"/>
      <w:pPr>
        <w:ind w:left="1080" w:hanging="360"/>
      </w:pPr>
    </w:lvl>
    <w:lvl w:ilvl="2" w:tplc="29A4DBAE" w:tentative="1">
      <w:start w:val="1"/>
      <w:numFmt w:val="lowerRoman"/>
      <w:lvlText w:val="%3."/>
      <w:lvlJc w:val="right"/>
      <w:pPr>
        <w:ind w:left="1800" w:hanging="180"/>
      </w:pPr>
    </w:lvl>
    <w:lvl w:ilvl="3" w:tplc="474EE1FE" w:tentative="1">
      <w:start w:val="1"/>
      <w:numFmt w:val="decimal"/>
      <w:lvlText w:val="%4."/>
      <w:lvlJc w:val="left"/>
      <w:pPr>
        <w:ind w:left="2520" w:hanging="360"/>
      </w:pPr>
    </w:lvl>
    <w:lvl w:ilvl="4" w:tplc="5DE8EAEA" w:tentative="1">
      <w:start w:val="1"/>
      <w:numFmt w:val="lowerLetter"/>
      <w:lvlText w:val="%5."/>
      <w:lvlJc w:val="left"/>
      <w:pPr>
        <w:ind w:left="3240" w:hanging="360"/>
      </w:pPr>
    </w:lvl>
    <w:lvl w:ilvl="5" w:tplc="BD5CF246" w:tentative="1">
      <w:start w:val="1"/>
      <w:numFmt w:val="lowerRoman"/>
      <w:lvlText w:val="%6."/>
      <w:lvlJc w:val="right"/>
      <w:pPr>
        <w:ind w:left="3960" w:hanging="180"/>
      </w:pPr>
    </w:lvl>
    <w:lvl w:ilvl="6" w:tplc="FEE2A8FE" w:tentative="1">
      <w:start w:val="1"/>
      <w:numFmt w:val="decimal"/>
      <w:lvlText w:val="%7."/>
      <w:lvlJc w:val="left"/>
      <w:pPr>
        <w:ind w:left="4680" w:hanging="360"/>
      </w:pPr>
    </w:lvl>
    <w:lvl w:ilvl="7" w:tplc="8EB07908" w:tentative="1">
      <w:start w:val="1"/>
      <w:numFmt w:val="lowerLetter"/>
      <w:lvlText w:val="%8."/>
      <w:lvlJc w:val="left"/>
      <w:pPr>
        <w:ind w:left="5400" w:hanging="360"/>
      </w:pPr>
    </w:lvl>
    <w:lvl w:ilvl="8" w:tplc="83664CD8"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8D207890">
      <w:start w:val="1"/>
      <w:numFmt w:val="bullet"/>
      <w:lvlText w:val=""/>
      <w:lvlJc w:val="left"/>
      <w:pPr>
        <w:ind w:left="720" w:hanging="360"/>
      </w:pPr>
      <w:rPr>
        <w:rFonts w:ascii="Symbol" w:hAnsi="Symbol"/>
      </w:rPr>
    </w:lvl>
    <w:lvl w:ilvl="1" w:tplc="93B8864E">
      <w:start w:val="1"/>
      <w:numFmt w:val="bullet"/>
      <w:lvlText w:val="o"/>
      <w:lvlJc w:val="left"/>
      <w:pPr>
        <w:tabs>
          <w:tab w:val="num" w:pos="1440"/>
        </w:tabs>
        <w:ind w:left="1440" w:hanging="360"/>
      </w:pPr>
      <w:rPr>
        <w:rFonts w:ascii="Courier New" w:hAnsi="Courier New"/>
      </w:rPr>
    </w:lvl>
    <w:lvl w:ilvl="2" w:tplc="DA86F088">
      <w:start w:val="1"/>
      <w:numFmt w:val="bullet"/>
      <w:lvlText w:val=""/>
      <w:lvlJc w:val="left"/>
      <w:pPr>
        <w:tabs>
          <w:tab w:val="num" w:pos="2160"/>
        </w:tabs>
        <w:ind w:left="2160" w:hanging="360"/>
      </w:pPr>
      <w:rPr>
        <w:rFonts w:ascii="Wingdings" w:hAnsi="Wingdings"/>
      </w:rPr>
    </w:lvl>
    <w:lvl w:ilvl="3" w:tplc="55D0646A">
      <w:start w:val="1"/>
      <w:numFmt w:val="bullet"/>
      <w:lvlText w:val=""/>
      <w:lvlJc w:val="left"/>
      <w:pPr>
        <w:tabs>
          <w:tab w:val="num" w:pos="2880"/>
        </w:tabs>
        <w:ind w:left="2880" w:hanging="360"/>
      </w:pPr>
      <w:rPr>
        <w:rFonts w:ascii="Symbol" w:hAnsi="Symbol"/>
      </w:rPr>
    </w:lvl>
    <w:lvl w:ilvl="4" w:tplc="D41CB7D0">
      <w:start w:val="1"/>
      <w:numFmt w:val="bullet"/>
      <w:lvlText w:val="o"/>
      <w:lvlJc w:val="left"/>
      <w:pPr>
        <w:tabs>
          <w:tab w:val="num" w:pos="3600"/>
        </w:tabs>
        <w:ind w:left="3600" w:hanging="360"/>
      </w:pPr>
      <w:rPr>
        <w:rFonts w:ascii="Courier New" w:hAnsi="Courier New"/>
      </w:rPr>
    </w:lvl>
    <w:lvl w:ilvl="5" w:tplc="53C40BB2">
      <w:start w:val="1"/>
      <w:numFmt w:val="bullet"/>
      <w:lvlText w:val=""/>
      <w:lvlJc w:val="left"/>
      <w:pPr>
        <w:tabs>
          <w:tab w:val="num" w:pos="4320"/>
        </w:tabs>
        <w:ind w:left="4320" w:hanging="360"/>
      </w:pPr>
      <w:rPr>
        <w:rFonts w:ascii="Wingdings" w:hAnsi="Wingdings"/>
      </w:rPr>
    </w:lvl>
    <w:lvl w:ilvl="6" w:tplc="00B470E2">
      <w:start w:val="1"/>
      <w:numFmt w:val="bullet"/>
      <w:lvlText w:val=""/>
      <w:lvlJc w:val="left"/>
      <w:pPr>
        <w:tabs>
          <w:tab w:val="num" w:pos="5040"/>
        </w:tabs>
        <w:ind w:left="5040" w:hanging="360"/>
      </w:pPr>
      <w:rPr>
        <w:rFonts w:ascii="Symbol" w:hAnsi="Symbol"/>
      </w:rPr>
    </w:lvl>
    <w:lvl w:ilvl="7" w:tplc="29E0F8CA">
      <w:start w:val="1"/>
      <w:numFmt w:val="bullet"/>
      <w:lvlText w:val="o"/>
      <w:lvlJc w:val="left"/>
      <w:pPr>
        <w:tabs>
          <w:tab w:val="num" w:pos="5760"/>
        </w:tabs>
        <w:ind w:left="5760" w:hanging="360"/>
      </w:pPr>
      <w:rPr>
        <w:rFonts w:ascii="Courier New" w:hAnsi="Courier New"/>
      </w:rPr>
    </w:lvl>
    <w:lvl w:ilvl="8" w:tplc="17C4F91C">
      <w:start w:val="1"/>
      <w:numFmt w:val="bullet"/>
      <w:lvlText w:val=""/>
      <w:lvlJc w:val="left"/>
      <w:pPr>
        <w:tabs>
          <w:tab w:val="num" w:pos="6480"/>
        </w:tabs>
        <w:ind w:left="6480" w:hanging="360"/>
      </w:pPr>
      <w:rPr>
        <w:rFonts w:ascii="Wingdings" w:hAnsi="Wingdings"/>
      </w:rPr>
    </w:lvl>
  </w:abstractNum>
  <w:abstractNum w:abstractNumId="15" w15:restartNumberingAfterBreak="0">
    <w:nsid w:val="63D526BC"/>
    <w:multiLevelType w:val="hybridMultilevel"/>
    <w:tmpl w:val="63D526BC"/>
    <w:lvl w:ilvl="0" w:tplc="203E569A">
      <w:start w:val="1"/>
      <w:numFmt w:val="bullet"/>
      <w:lvlText w:val=""/>
      <w:lvlJc w:val="left"/>
      <w:pPr>
        <w:ind w:left="720" w:hanging="360"/>
      </w:pPr>
      <w:rPr>
        <w:rFonts w:ascii="Symbol" w:hAnsi="Symbol"/>
      </w:rPr>
    </w:lvl>
    <w:lvl w:ilvl="1" w:tplc="DD360D46">
      <w:start w:val="1"/>
      <w:numFmt w:val="bullet"/>
      <w:lvlText w:val="o"/>
      <w:lvlJc w:val="left"/>
      <w:pPr>
        <w:tabs>
          <w:tab w:val="num" w:pos="1440"/>
        </w:tabs>
        <w:ind w:left="1440" w:hanging="360"/>
      </w:pPr>
      <w:rPr>
        <w:rFonts w:ascii="Courier New" w:hAnsi="Courier New"/>
      </w:rPr>
    </w:lvl>
    <w:lvl w:ilvl="2" w:tplc="7F66D89A">
      <w:start w:val="1"/>
      <w:numFmt w:val="bullet"/>
      <w:lvlText w:val=""/>
      <w:lvlJc w:val="left"/>
      <w:pPr>
        <w:tabs>
          <w:tab w:val="num" w:pos="2160"/>
        </w:tabs>
        <w:ind w:left="2160" w:hanging="360"/>
      </w:pPr>
      <w:rPr>
        <w:rFonts w:ascii="Wingdings" w:hAnsi="Wingdings"/>
      </w:rPr>
    </w:lvl>
    <w:lvl w:ilvl="3" w:tplc="1726850A">
      <w:start w:val="1"/>
      <w:numFmt w:val="bullet"/>
      <w:lvlText w:val=""/>
      <w:lvlJc w:val="left"/>
      <w:pPr>
        <w:tabs>
          <w:tab w:val="num" w:pos="2880"/>
        </w:tabs>
        <w:ind w:left="2880" w:hanging="360"/>
      </w:pPr>
      <w:rPr>
        <w:rFonts w:ascii="Symbol" w:hAnsi="Symbol"/>
      </w:rPr>
    </w:lvl>
    <w:lvl w:ilvl="4" w:tplc="356A6DBC">
      <w:start w:val="1"/>
      <w:numFmt w:val="bullet"/>
      <w:lvlText w:val="o"/>
      <w:lvlJc w:val="left"/>
      <w:pPr>
        <w:tabs>
          <w:tab w:val="num" w:pos="3600"/>
        </w:tabs>
        <w:ind w:left="3600" w:hanging="360"/>
      </w:pPr>
      <w:rPr>
        <w:rFonts w:ascii="Courier New" w:hAnsi="Courier New"/>
      </w:rPr>
    </w:lvl>
    <w:lvl w:ilvl="5" w:tplc="5876F83A">
      <w:start w:val="1"/>
      <w:numFmt w:val="bullet"/>
      <w:lvlText w:val=""/>
      <w:lvlJc w:val="left"/>
      <w:pPr>
        <w:tabs>
          <w:tab w:val="num" w:pos="4320"/>
        </w:tabs>
        <w:ind w:left="4320" w:hanging="360"/>
      </w:pPr>
      <w:rPr>
        <w:rFonts w:ascii="Wingdings" w:hAnsi="Wingdings"/>
      </w:rPr>
    </w:lvl>
    <w:lvl w:ilvl="6" w:tplc="777E8564">
      <w:start w:val="1"/>
      <w:numFmt w:val="bullet"/>
      <w:lvlText w:val=""/>
      <w:lvlJc w:val="left"/>
      <w:pPr>
        <w:tabs>
          <w:tab w:val="num" w:pos="5040"/>
        </w:tabs>
        <w:ind w:left="5040" w:hanging="360"/>
      </w:pPr>
      <w:rPr>
        <w:rFonts w:ascii="Symbol" w:hAnsi="Symbol"/>
      </w:rPr>
    </w:lvl>
    <w:lvl w:ilvl="7" w:tplc="C09CC612">
      <w:start w:val="1"/>
      <w:numFmt w:val="bullet"/>
      <w:lvlText w:val="o"/>
      <w:lvlJc w:val="left"/>
      <w:pPr>
        <w:tabs>
          <w:tab w:val="num" w:pos="5760"/>
        </w:tabs>
        <w:ind w:left="5760" w:hanging="360"/>
      </w:pPr>
      <w:rPr>
        <w:rFonts w:ascii="Courier New" w:hAnsi="Courier New"/>
      </w:rPr>
    </w:lvl>
    <w:lvl w:ilvl="8" w:tplc="20A8366C">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stylePaneSortMethod w:val="0000"/>
  <w:doNotTrackMoves/>
  <w:defaultTabStop w:val="567"/>
  <w:hyphenationZone w:val="425"/>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0CCB"/>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E62C2"/>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26403"/>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1690"/>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06C7"/>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87C05"/>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C4508"/>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4D1A"/>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00C92E"/>
  <w15:docId w15:val="{E84BB5AB-2F10-498E-AA4A-B16C609D1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tongcuclamnghiep.gov.v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tongcuclamnghiep.gov.vn/"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20/TBT/VNM/20_1238_00_x.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632</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description>LDIMD - DTU</dc:description>
  <cp:lastModifiedBy>Laverriere, Chantal</cp:lastModifiedBy>
  <cp:revision>68</cp:revision>
  <dcterms:created xsi:type="dcterms:W3CDTF">2017-07-03T10:42:00Z</dcterms:created>
  <dcterms:modified xsi:type="dcterms:W3CDTF">2020-02-17T13:14:00Z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aeed61a9-3038-4531-b861-85b638b94c1d</vt:lpwstr>
  </property>
  <property fmtid="{D5CDD505-2E9C-101B-9397-08002B2CF9AE}" pid="4" name="WTOCLASSIFICATION">
    <vt:lpwstr>WTO OFFICIAL</vt:lpwstr>
  </property>
</Properties>
</file>