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372F86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372F86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624D31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372F8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372F86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Uganda</w:t>
            </w:r>
            <w:bookmarkEnd w:id="1"/>
            <w:r w:rsidRPr="002F6A28">
              <w:t xml:space="preserve"> </w:t>
            </w:r>
          </w:p>
          <w:p w:rsidR="00F85C99" w:rsidRPr="002F6A28" w:rsidRDefault="00372F86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624D3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72F8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72F86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Uganda National Bureau of Standards</w:t>
            </w:r>
            <w:bookmarkEnd w:id="5"/>
          </w:p>
          <w:p w:rsidR="00F85C99" w:rsidRPr="002F6A28" w:rsidRDefault="00372F86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624D3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72F8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372F86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End w:id="16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7" w:name="tbt3e"/>
            <w:bookmarkEnd w:id="17"/>
          </w:p>
        </w:tc>
      </w:tr>
      <w:tr w:rsidR="00624D3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72F8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72F86" w:rsidP="002F6A28">
            <w:pPr>
              <w:spacing w:before="120" w:after="120"/>
            </w:pPr>
            <w:bookmarkStart w:id="18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8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9" w:name="sps3a"/>
            <w:r w:rsidRPr="002F6A28">
              <w:rPr>
                <w:bCs/>
              </w:rPr>
              <w:t>Medical ultrasound gel; - Gel preparations designed to be used in human or veterinary medicine as a lubricant for parts of the body for surgical operations or physical examinations or as a coupling agent between the body and medical instruments (HS 300670); Pharmaceutics in general (ICS 11.120.01)</w:t>
            </w:r>
            <w:bookmarkEnd w:id="19"/>
          </w:p>
        </w:tc>
      </w:tr>
      <w:tr w:rsidR="00624D3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72F8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72F86" w:rsidP="002F6A28">
            <w:pPr>
              <w:spacing w:before="120" w:after="120"/>
            </w:pPr>
            <w:bookmarkStart w:id="20" w:name="X_TBT_Reg_5A"/>
            <w:r w:rsidRPr="002F6A28">
              <w:rPr>
                <w:b/>
              </w:rPr>
              <w:t>Title, number of pages and language(s) of the notified document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1" w:name="sps5a"/>
            <w:r w:rsidRPr="002F6A28">
              <w:t>DUS 2129: 2019, Medical ultrasound gel — Specification, First edition (14 page(s), in English)</w:t>
            </w:r>
            <w:bookmarkStart w:id="22" w:name="sps5c"/>
            <w:bookmarkStart w:id="23" w:name="sps5b"/>
            <w:bookmarkEnd w:id="21"/>
            <w:bookmarkEnd w:id="22"/>
            <w:bookmarkEnd w:id="23"/>
          </w:p>
        </w:tc>
      </w:tr>
      <w:tr w:rsidR="00624D3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72F8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72F86" w:rsidP="002F6A28">
            <w:pPr>
              <w:spacing w:before="120" w:after="120"/>
              <w:rPr>
                <w:b/>
              </w:rPr>
            </w:pPr>
            <w:bookmarkStart w:id="24" w:name="X_TBT_Reg_6A"/>
            <w:r w:rsidRPr="002F6A28">
              <w:rPr>
                <w:b/>
              </w:rPr>
              <w:t>Description of content</w:t>
            </w:r>
            <w:bookmarkEnd w:id="24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5" w:name="sps6a"/>
            <w:r w:rsidRPr="002F6A28">
              <w:rPr>
                <w:lang w:eastAsia="en-GB"/>
              </w:rPr>
              <w:t>The Draft Uganda standard specifies the requirements, sampling and methods of test of medical ultrasound gels.</w:t>
            </w:r>
            <w:bookmarkEnd w:id="25"/>
          </w:p>
        </w:tc>
      </w:tr>
      <w:tr w:rsidR="00624D3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72F8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72F86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7" w:name="sps7f"/>
            <w:r w:rsidRPr="002F6A28">
              <w:t>Consumer information, labelling; Prevention of deceptive practices and consumer protection; Protection of human health or safety; Quality requirements; Harmonization</w:t>
            </w:r>
            <w:bookmarkEnd w:id="27"/>
          </w:p>
        </w:tc>
      </w:tr>
      <w:tr w:rsidR="00624D3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72F86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372F86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624D31" w:rsidRPr="002F6A28" w:rsidRDefault="00372F86" w:rsidP="009154B1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FDUS EAS 847-17, Cosmetic industry — Analytical methods — Part 17: Determination of pH</w:t>
            </w:r>
          </w:p>
          <w:p w:rsidR="00624D31" w:rsidRPr="002F6A28" w:rsidRDefault="00372F86" w:rsidP="009154B1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FDUS ISO 21149, Enumeration and detection of aerobic mesophilic bacteria</w:t>
            </w:r>
          </w:p>
          <w:p w:rsidR="00624D31" w:rsidRPr="002F6A28" w:rsidRDefault="00372F86" w:rsidP="009154B1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 xml:space="preserve">ISO 21150, Cosmetics </w:t>
            </w:r>
            <w:r w:rsidR="009154B1">
              <w:rPr>
                <w:bCs/>
              </w:rPr>
              <w:t>–</w:t>
            </w:r>
            <w:r w:rsidRPr="002F6A28">
              <w:rPr>
                <w:bCs/>
              </w:rPr>
              <w:t xml:space="preserve"> Microbiology</w:t>
            </w:r>
            <w:r w:rsidR="009154B1">
              <w:rPr>
                <w:bCs/>
              </w:rPr>
              <w:t xml:space="preserve"> </w:t>
            </w:r>
            <w:r w:rsidRPr="002F6A28">
              <w:rPr>
                <w:bCs/>
              </w:rPr>
              <w:t>- Detection of Escherichia coli</w:t>
            </w:r>
          </w:p>
          <w:p w:rsidR="00624D31" w:rsidRPr="002F6A28" w:rsidRDefault="00372F86" w:rsidP="009154B1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US 1847:2017, Standard Test Methods for Specific Gravity, Apparent, of Liquid Industrial Chemicals</w:t>
            </w:r>
          </w:p>
          <w:p w:rsidR="00624D31" w:rsidRPr="002F6A28" w:rsidRDefault="00372F86" w:rsidP="009154B1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US ISO 3104:1994, Petroleum products - Transparent and opaque liquids - Determination of kinematic viscosity and calculation of dynamic viscosity</w:t>
            </w:r>
          </w:p>
          <w:p w:rsidR="00624D31" w:rsidRPr="002F6A28" w:rsidRDefault="00372F86" w:rsidP="009154B1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US ISO 22718, Cosmetics - Microbiology - Detection of Staphylococcus aureus</w:t>
            </w:r>
          </w:p>
          <w:p w:rsidR="00624D31" w:rsidRPr="002F6A28" w:rsidRDefault="00372F86" w:rsidP="009154B1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US ISO 22717, Cosmetics - Microbiology - Detection of Pseudomonas aeruginosa</w:t>
            </w:r>
          </w:p>
          <w:p w:rsidR="00624D31" w:rsidRPr="002F6A28" w:rsidRDefault="00372F86" w:rsidP="009154B1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lastRenderedPageBreak/>
              <w:t>US ISO 10993-1:2003, Biological evaluation of medical devices — Part 1: Evaluation and testing</w:t>
            </w:r>
          </w:p>
          <w:p w:rsidR="00624D31" w:rsidRPr="002F6A28" w:rsidRDefault="00372F86" w:rsidP="009154B1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British Pharmacopoeia, 2015</w:t>
            </w:r>
          </w:p>
          <w:p w:rsidR="00624D31" w:rsidRPr="002F6A28" w:rsidRDefault="00372F86" w:rsidP="009154B1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Food and Drug Administration Center for Devices and Radiological Health</w:t>
            </w:r>
          </w:p>
        </w:tc>
      </w:tr>
      <w:tr w:rsidR="00624D31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372F8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372F86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June 2019</w:t>
            </w:r>
            <w:bookmarkEnd w:id="31"/>
          </w:p>
          <w:p w:rsidR="00EE3A11" w:rsidRPr="002F6A28" w:rsidRDefault="00372F86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Upon declaration as mandatory by the Minister for Trade, Industry and Cooperatives.</w:t>
            </w:r>
            <w:bookmarkEnd w:id="34"/>
          </w:p>
        </w:tc>
      </w:tr>
      <w:tr w:rsidR="00624D3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72F8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72F86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6" w:name="sps12a"/>
            <w:r w:rsidRPr="002F6A28">
              <w:rPr>
                <w:bCs/>
              </w:rPr>
              <w:t>60 days from notification</w:t>
            </w:r>
            <w:bookmarkEnd w:id="36"/>
          </w:p>
        </w:tc>
      </w:tr>
      <w:tr w:rsidR="00624D31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372F86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372F86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624D31" w:rsidRPr="002F6A28" w:rsidRDefault="00B549F2" w:rsidP="00B16145">
            <w:pPr>
              <w:keepNext/>
              <w:keepLines/>
              <w:spacing w:before="120" w:after="120"/>
            </w:pPr>
            <w:hyperlink r:id="rId7" w:history="1">
              <w:r w:rsidR="00372F86" w:rsidRPr="002F6A28">
                <w:rPr>
                  <w:color w:val="0000FF"/>
                  <w:u w:val="single"/>
                </w:rPr>
                <w:t>https://members.wto.org/crnattachments/2019/TBT/UGA/19_1973_00_e.pdf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372F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E4A" w:rsidRDefault="00372F86">
      <w:r>
        <w:separator/>
      </w:r>
    </w:p>
  </w:endnote>
  <w:endnote w:type="continuationSeparator" w:id="0">
    <w:p w:rsidR="00652E4A" w:rsidRDefault="00372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372F86" w:rsidRDefault="00372F86" w:rsidP="00372F86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372F86" w:rsidRDefault="00372F86" w:rsidP="00372F86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372F86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E4A" w:rsidRDefault="00372F86">
      <w:r>
        <w:separator/>
      </w:r>
    </w:p>
  </w:footnote>
  <w:footnote w:type="continuationSeparator" w:id="0">
    <w:p w:rsidR="00652E4A" w:rsidRDefault="00372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F86" w:rsidRPr="00372F86" w:rsidRDefault="00372F86" w:rsidP="00372F8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72F86">
      <w:t>G/TBT/N/UGA/1049</w:t>
    </w:r>
  </w:p>
  <w:p w:rsidR="00372F86" w:rsidRPr="00372F86" w:rsidRDefault="00372F86" w:rsidP="00372F8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72F86" w:rsidRPr="00372F86" w:rsidRDefault="00372F86" w:rsidP="00372F8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72F86">
      <w:t xml:space="preserve">- </w:t>
    </w:r>
    <w:r w:rsidRPr="00372F86">
      <w:fldChar w:fldCharType="begin"/>
    </w:r>
    <w:r w:rsidRPr="00372F86">
      <w:instrText xml:space="preserve"> PAGE </w:instrText>
    </w:r>
    <w:r w:rsidRPr="00372F86">
      <w:fldChar w:fldCharType="separate"/>
    </w:r>
    <w:r w:rsidRPr="00372F86">
      <w:rPr>
        <w:noProof/>
      </w:rPr>
      <w:t>2</w:t>
    </w:r>
    <w:r w:rsidRPr="00372F86">
      <w:fldChar w:fldCharType="end"/>
    </w:r>
    <w:r w:rsidRPr="00372F86">
      <w:t xml:space="preserve"> -</w:t>
    </w:r>
  </w:p>
  <w:p w:rsidR="009239F7" w:rsidRPr="00372F86" w:rsidRDefault="009239F7" w:rsidP="00372F86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F86" w:rsidRPr="00372F86" w:rsidRDefault="00372F86" w:rsidP="00372F8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72F86">
      <w:t>G/TBT/N/UGA/1049</w:t>
    </w:r>
  </w:p>
  <w:p w:rsidR="00372F86" w:rsidRPr="00372F86" w:rsidRDefault="00372F86" w:rsidP="00372F8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72F86" w:rsidRPr="00372F86" w:rsidRDefault="00372F86" w:rsidP="00372F8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72F86">
      <w:t xml:space="preserve">- </w:t>
    </w:r>
    <w:r w:rsidRPr="00372F86">
      <w:fldChar w:fldCharType="begin"/>
    </w:r>
    <w:r w:rsidRPr="00372F86">
      <w:instrText xml:space="preserve"> PAGE </w:instrText>
    </w:r>
    <w:r w:rsidRPr="00372F86">
      <w:fldChar w:fldCharType="separate"/>
    </w:r>
    <w:r w:rsidRPr="00372F86">
      <w:rPr>
        <w:noProof/>
      </w:rPr>
      <w:t>2</w:t>
    </w:r>
    <w:r w:rsidRPr="00372F86">
      <w:fldChar w:fldCharType="end"/>
    </w:r>
    <w:r w:rsidRPr="00372F86">
      <w:t xml:space="preserve"> -</w:t>
    </w:r>
  </w:p>
  <w:p w:rsidR="009239F7" w:rsidRPr="00372F86" w:rsidRDefault="009239F7" w:rsidP="00372F86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24D31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372F86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1"/>
    <w:tr w:rsidR="00624D31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F73389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624D31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72F86" w:rsidRDefault="00372F86" w:rsidP="00B801E9">
          <w:pPr>
            <w:jc w:val="right"/>
            <w:rPr>
              <w:b/>
              <w:szCs w:val="16"/>
            </w:rPr>
          </w:pPr>
          <w:bookmarkStart w:id="42" w:name="bmkSymbols"/>
          <w:r>
            <w:rPr>
              <w:b/>
              <w:szCs w:val="16"/>
            </w:rPr>
            <w:t>G/TBT/N/UGA/1049</w:t>
          </w:r>
        </w:p>
        <w:bookmarkEnd w:id="42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624D31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B549F2" w:rsidP="00B801E9">
          <w:pPr>
            <w:jc w:val="right"/>
            <w:rPr>
              <w:szCs w:val="16"/>
            </w:rPr>
          </w:pPr>
          <w:bookmarkStart w:id="43" w:name="spsDateDistribution"/>
          <w:bookmarkStart w:id="44" w:name="bmkDate"/>
          <w:bookmarkEnd w:id="43"/>
          <w:bookmarkEnd w:id="44"/>
          <w:r>
            <w:rPr>
              <w:szCs w:val="16"/>
            </w:rPr>
            <w:t xml:space="preserve">8 April </w:t>
          </w:r>
          <w:r>
            <w:rPr>
              <w:szCs w:val="16"/>
            </w:rPr>
            <w:t>2019</w:t>
          </w:r>
          <w:bookmarkStart w:id="45" w:name="_GoBack"/>
          <w:bookmarkEnd w:id="45"/>
        </w:p>
      </w:tc>
    </w:tr>
    <w:tr w:rsidR="00624D31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372F86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 w:rsidR="00B549F2">
            <w:rPr>
              <w:color w:val="FF0000"/>
              <w:szCs w:val="16"/>
            </w:rPr>
            <w:t>19-2224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372F86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624D31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372F86" w:rsidP="00B801E9">
          <w:pPr>
            <w:jc w:val="left"/>
            <w:rPr>
              <w:sz w:val="14"/>
              <w:szCs w:val="16"/>
            </w:rPr>
          </w:pPr>
          <w:bookmarkStart w:id="49" w:name="bmkCommittee"/>
          <w:r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372F86" w:rsidP="00B801E9">
          <w:pPr>
            <w:jc w:val="right"/>
            <w:rPr>
              <w:bCs/>
              <w:szCs w:val="18"/>
            </w:rPr>
          </w:pPr>
          <w:bookmarkStart w:id="50" w:name="bmkLanguage"/>
          <w:r>
            <w:rPr>
              <w:bCs/>
              <w:szCs w:val="18"/>
            </w:rPr>
            <w:t>Original: English</w:t>
          </w:r>
          <w:bookmarkEnd w:id="50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FF2AEF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9604AF8" w:tentative="1">
      <w:start w:val="1"/>
      <w:numFmt w:val="lowerLetter"/>
      <w:lvlText w:val="%2."/>
      <w:lvlJc w:val="left"/>
      <w:pPr>
        <w:ind w:left="1080" w:hanging="360"/>
      </w:pPr>
    </w:lvl>
    <w:lvl w:ilvl="2" w:tplc="73E46FBC" w:tentative="1">
      <w:start w:val="1"/>
      <w:numFmt w:val="lowerRoman"/>
      <w:lvlText w:val="%3."/>
      <w:lvlJc w:val="right"/>
      <w:pPr>
        <w:ind w:left="1800" w:hanging="180"/>
      </w:pPr>
    </w:lvl>
    <w:lvl w:ilvl="3" w:tplc="10CA898A" w:tentative="1">
      <w:start w:val="1"/>
      <w:numFmt w:val="decimal"/>
      <w:lvlText w:val="%4."/>
      <w:lvlJc w:val="left"/>
      <w:pPr>
        <w:ind w:left="2520" w:hanging="360"/>
      </w:pPr>
    </w:lvl>
    <w:lvl w:ilvl="4" w:tplc="1E1EE9D6" w:tentative="1">
      <w:start w:val="1"/>
      <w:numFmt w:val="lowerLetter"/>
      <w:lvlText w:val="%5."/>
      <w:lvlJc w:val="left"/>
      <w:pPr>
        <w:ind w:left="3240" w:hanging="360"/>
      </w:pPr>
    </w:lvl>
    <w:lvl w:ilvl="5" w:tplc="37865BF6" w:tentative="1">
      <w:start w:val="1"/>
      <w:numFmt w:val="lowerRoman"/>
      <w:lvlText w:val="%6."/>
      <w:lvlJc w:val="right"/>
      <w:pPr>
        <w:ind w:left="3960" w:hanging="180"/>
      </w:pPr>
    </w:lvl>
    <w:lvl w:ilvl="6" w:tplc="61C08C5C" w:tentative="1">
      <w:start w:val="1"/>
      <w:numFmt w:val="decimal"/>
      <w:lvlText w:val="%7."/>
      <w:lvlJc w:val="left"/>
      <w:pPr>
        <w:ind w:left="4680" w:hanging="360"/>
      </w:pPr>
    </w:lvl>
    <w:lvl w:ilvl="7" w:tplc="18AE4076" w:tentative="1">
      <w:start w:val="1"/>
      <w:numFmt w:val="lowerLetter"/>
      <w:lvlText w:val="%8."/>
      <w:lvlJc w:val="left"/>
      <w:pPr>
        <w:ind w:left="5400" w:hanging="360"/>
      </w:pPr>
    </w:lvl>
    <w:lvl w:ilvl="8" w:tplc="497A559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72B4"/>
    <w:rsid w:val="00372F86"/>
    <w:rsid w:val="00381B96"/>
    <w:rsid w:val="00383F7A"/>
    <w:rsid w:val="00396AF4"/>
    <w:rsid w:val="003B2BBF"/>
    <w:rsid w:val="0041584A"/>
    <w:rsid w:val="004423A4"/>
    <w:rsid w:val="00467032"/>
    <w:rsid w:val="0046754A"/>
    <w:rsid w:val="0048173D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24D31"/>
    <w:rsid w:val="00643C1F"/>
    <w:rsid w:val="00652E4A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154B1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AF3330"/>
    <w:rsid w:val="00B00276"/>
    <w:rsid w:val="00B16145"/>
    <w:rsid w:val="00B230EC"/>
    <w:rsid w:val="00B52738"/>
    <w:rsid w:val="00B549F2"/>
    <w:rsid w:val="00B55105"/>
    <w:rsid w:val="00B56EDC"/>
    <w:rsid w:val="00B57342"/>
    <w:rsid w:val="00B6007A"/>
    <w:rsid w:val="00B7102C"/>
    <w:rsid w:val="00B801E9"/>
    <w:rsid w:val="00BB0455"/>
    <w:rsid w:val="00BB1F84"/>
    <w:rsid w:val="00BE5468"/>
    <w:rsid w:val="00BF59EC"/>
    <w:rsid w:val="00C11EAC"/>
    <w:rsid w:val="00C12F46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73389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B5A6EFF"/>
  <w15:docId w15:val="{3E4FC247-CC16-4EF6-9831-92962570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TBT/UGA/19_1973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451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5</cp:revision>
  <dcterms:created xsi:type="dcterms:W3CDTF">2019-04-08T08:06:00Z</dcterms:created>
  <dcterms:modified xsi:type="dcterms:W3CDTF">2019-04-08T10:19:00Z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G/TBT/N/UGA/1049</vt:lpwstr>
  </property>
</Properties>
</file>