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5F6F35" w:rsidP="002F6A28">
      <w:pPr>
        <w:pStyle w:val="Title"/>
        <w:rPr>
          <w:caps w:val="0"/>
          <w:kern w:val="0"/>
        </w:rPr>
      </w:pPr>
      <w:r w:rsidRPr="002F6A28">
        <w:rPr>
          <w:caps w:val="0"/>
          <w:kern w:val="0"/>
        </w:rPr>
        <w:t>NOTIFICATION</w:t>
      </w:r>
    </w:p>
    <w:p w:rsidR="009239F7" w:rsidRPr="002F6A28" w:rsidRDefault="005F6F35"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33EEC" w:rsidTr="0069259F">
        <w:tc>
          <w:tcPr>
            <w:tcW w:w="713" w:type="dxa"/>
            <w:tcBorders>
              <w:bottom w:val="single" w:sz="6" w:space="0" w:color="auto"/>
            </w:tcBorders>
            <w:shd w:val="clear" w:color="auto" w:fill="auto"/>
          </w:tcPr>
          <w:p w:rsidR="00F85C99" w:rsidRPr="002F6A28" w:rsidRDefault="005F6F35"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5F6F3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Trinidad and Tobago</w:t>
            </w:r>
            <w:bookmarkEnd w:id="1"/>
            <w:r w:rsidRPr="002F6A28">
              <w:t xml:space="preserve"> </w:t>
            </w:r>
          </w:p>
          <w:p w:rsidR="00F85C99" w:rsidRPr="002F6A28" w:rsidRDefault="005F6F3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5F6F3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Trinidad and Tobago Bureau of Standards</w:t>
            </w:r>
            <w:bookmarkEnd w:id="5"/>
          </w:p>
          <w:p w:rsidR="00F85C99" w:rsidRPr="002F6A28" w:rsidRDefault="005F6F3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0660AC" w:rsidRPr="002F6A28" w:rsidRDefault="005F6F35" w:rsidP="00AA646C">
            <w:pPr>
              <w:spacing w:after="120"/>
              <w:jc w:val="left"/>
            </w:pPr>
            <w:r w:rsidRPr="002F6A28">
              <w:t>Trinidad and Tobago Bureau of Standards</w:t>
            </w:r>
            <w:r w:rsidRPr="002F6A28">
              <w:br/>
              <w:t>1-2 Century Drive, Trincity Industrial Estate</w:t>
            </w:r>
            <w:r w:rsidRPr="002F6A28">
              <w:br/>
              <w:t>Macoya, Tunapuna</w:t>
            </w:r>
            <w:r w:rsidRPr="002F6A28">
              <w:br/>
              <w:t>Trinidad and Tobago</w:t>
            </w:r>
            <w:r w:rsidRPr="002F6A28">
              <w:br/>
              <w:t>1(868) 662-8827</w:t>
            </w:r>
            <w:r w:rsidRPr="002F6A28">
              <w:br/>
            </w:r>
            <w:hyperlink r:id="rId7" w:history="1">
              <w:r w:rsidRPr="002F6A28">
                <w:rPr>
                  <w:color w:val="0000FF"/>
                  <w:u w:val="single"/>
                </w:rPr>
                <w:t>ttbs@ttbs.org.tt</w:t>
              </w:r>
            </w:hyperlink>
            <w:r w:rsidRPr="002F6A28">
              <w:t xml:space="preserve"> or </w:t>
            </w:r>
            <w:hyperlink r:id="rId8" w:history="1">
              <w:r w:rsidRPr="002F6A28">
                <w:rPr>
                  <w:color w:val="0000FF"/>
                  <w:u w:val="single"/>
                </w:rPr>
                <w:t>publiccomments@gmail.com</w:t>
              </w:r>
            </w:hyperlink>
            <w:r w:rsidRPr="002F6A28">
              <w:t xml:space="preserve"> </w:t>
            </w:r>
            <w:r w:rsidRPr="002F6A28">
              <w:br/>
            </w:r>
            <w:hyperlink r:id="rId9" w:history="1">
              <w:r w:rsidRPr="002F6A28">
                <w:rPr>
                  <w:color w:val="0000FF"/>
                  <w:u w:val="single"/>
                </w:rPr>
                <w:t>www.gottbs.com</w:t>
              </w:r>
            </w:hyperlink>
            <w:bookmarkEnd w:id="7"/>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5F6F3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5F6F3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Compostable and biodegradable food-contact, single-use tableware, packaging, products and materials, inclusive of cutlery, plates, straws, cups, and other disposable food and beverage containers and associated lids.; PACKAGING AND DISTRIBUTION OF GOODS (ICS 55)</w:t>
            </w:r>
            <w:bookmarkStart w:id="20" w:name="sps3a"/>
            <w:bookmarkEnd w:id="20"/>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5F6F3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TTCS 9:20XX BIODEGRADABLE MATERIALS – FOOD-CONTACT SINGLE-USE PRODUCTS AND PACKAGING – COMPULSORY REQUIREMENTS (13 page(s), in English)</w:t>
            </w:r>
            <w:bookmarkStart w:id="22" w:name="sps5a"/>
            <w:bookmarkStart w:id="23" w:name="sps5c"/>
            <w:bookmarkStart w:id="24" w:name="sps5b"/>
            <w:bookmarkEnd w:id="22"/>
            <w:bookmarkEnd w:id="23"/>
            <w:bookmarkEnd w:id="24"/>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5F6F3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Trinidad and Tobago standard applies to imported and locally manufactured compostable and biodegradable food-contact, single-use tableware, packaging, products and materials, inclusive of cutlery, plates, straws, cups, and other disposable food and beverage containers and associated lids.</w:t>
            </w:r>
          </w:p>
          <w:p w:rsidR="00FE448B" w:rsidRPr="00C379C8" w:rsidRDefault="005F6F35" w:rsidP="002F6A28">
            <w:pPr>
              <w:spacing w:after="120"/>
            </w:pPr>
            <w:r w:rsidRPr="00C379C8">
              <w:t xml:space="preserve">It outlines the compulsory requirements for the aforementioned products and packaging as well as the mechanisms to demonstrate compliance to these requirements and also includes measures to be taken in the event of non-compliance. </w:t>
            </w:r>
          </w:p>
          <w:p w:rsidR="00FE448B" w:rsidRPr="00C379C8" w:rsidRDefault="005F6F35" w:rsidP="002F6A28">
            <w:pPr>
              <w:spacing w:after="120"/>
            </w:pPr>
            <w:r w:rsidRPr="00C379C8">
              <w:t xml:space="preserve">This standard does not apply to secondary packaging, that is, outer wrappers or cartons or non-food contact products. It also does not apply to packing material used as stuffing to prevent damage to products. </w:t>
            </w:r>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5F6F3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the environment</w:t>
            </w:r>
            <w:bookmarkStart w:id="27" w:name="sps7f"/>
            <w:bookmarkEnd w:id="27"/>
          </w:p>
        </w:tc>
      </w:tr>
      <w:tr w:rsidR="00E33EEC" w:rsidTr="0069259F">
        <w:tc>
          <w:tcPr>
            <w:tcW w:w="713" w:type="dxa"/>
            <w:tcBorders>
              <w:top w:val="single" w:sz="6" w:space="0" w:color="auto"/>
              <w:bottom w:val="single" w:sz="6" w:space="0" w:color="auto"/>
            </w:tcBorders>
            <w:shd w:val="clear" w:color="auto" w:fill="auto"/>
          </w:tcPr>
          <w:p w:rsidR="00F85C99" w:rsidRPr="002F6A28" w:rsidRDefault="005F6F3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5F6F3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0660AC" w:rsidRPr="002F6A28" w:rsidRDefault="005F6F35" w:rsidP="009E75ED">
            <w:pPr>
              <w:numPr>
                <w:ilvl w:val="0"/>
                <w:numId w:val="16"/>
              </w:numPr>
              <w:spacing w:before="120" w:after="120"/>
              <w:jc w:val="left"/>
              <w:rPr>
                <w:bCs/>
              </w:rPr>
            </w:pPr>
            <w:r w:rsidRPr="002F6A28">
              <w:rPr>
                <w:bCs/>
              </w:rPr>
              <w:t xml:space="preserve">ASTM D5338, </w:t>
            </w:r>
            <w:r w:rsidRPr="002F6A28">
              <w:rPr>
                <w:bCs/>
                <w:i/>
                <w:iCs/>
              </w:rPr>
              <w:t>Test Method for Determining Aerobic Biodegradation of Plastic Materials Under Controlled Composting Conditions, Incorporating Thermophilic Temperatures</w:t>
            </w:r>
          </w:p>
          <w:p w:rsidR="000660AC" w:rsidRPr="002F6A28" w:rsidRDefault="005F6F35" w:rsidP="009E75ED">
            <w:pPr>
              <w:numPr>
                <w:ilvl w:val="0"/>
                <w:numId w:val="16"/>
              </w:numPr>
              <w:spacing w:before="120" w:after="120"/>
              <w:jc w:val="left"/>
              <w:rPr>
                <w:bCs/>
              </w:rPr>
            </w:pPr>
            <w:r w:rsidRPr="002F6A28">
              <w:rPr>
                <w:bCs/>
              </w:rPr>
              <w:t xml:space="preserve">ASTM D6400, </w:t>
            </w:r>
            <w:r w:rsidRPr="002F6A28">
              <w:rPr>
                <w:bCs/>
                <w:i/>
                <w:iCs/>
              </w:rPr>
              <w:t>Standard Specification for Labeling of Plastics Designed to be Aerobically Composted in Municipal or Industrial Facilities</w:t>
            </w:r>
          </w:p>
          <w:p w:rsidR="000660AC" w:rsidRPr="002F6A28" w:rsidRDefault="005F6F35" w:rsidP="009E75ED">
            <w:pPr>
              <w:numPr>
                <w:ilvl w:val="0"/>
                <w:numId w:val="16"/>
              </w:numPr>
              <w:spacing w:before="120" w:after="120"/>
              <w:jc w:val="left"/>
              <w:rPr>
                <w:bCs/>
              </w:rPr>
            </w:pPr>
            <w:r w:rsidRPr="002F6A28">
              <w:rPr>
                <w:bCs/>
              </w:rPr>
              <w:t xml:space="preserve">ASTM D6868, </w:t>
            </w:r>
            <w:r w:rsidRPr="002F6A28">
              <w:rPr>
                <w:bCs/>
                <w:i/>
                <w:iCs/>
              </w:rPr>
              <w:t>Standard Specification for Labeling of End Items that Incorporate Plastics and Polymers as Coatings or Additives with Paper and Other Substrates Designed to be Aerobically Composted in Municipal or Industrial Facilities</w:t>
            </w:r>
          </w:p>
          <w:p w:rsidR="000660AC" w:rsidRPr="002F6A28" w:rsidRDefault="005F6F35" w:rsidP="009E75ED">
            <w:pPr>
              <w:numPr>
                <w:ilvl w:val="0"/>
                <w:numId w:val="16"/>
              </w:numPr>
              <w:spacing w:before="120" w:after="120"/>
              <w:jc w:val="left"/>
              <w:rPr>
                <w:bCs/>
              </w:rPr>
            </w:pPr>
            <w:r w:rsidRPr="002F6A28">
              <w:rPr>
                <w:bCs/>
              </w:rPr>
              <w:t xml:space="preserve">CR 13695-1, </w:t>
            </w:r>
            <w:r w:rsidRPr="002F6A28">
              <w:rPr>
                <w:bCs/>
                <w:i/>
                <w:iCs/>
              </w:rPr>
              <w:t>Packaging - Requirements for measuring and verifying the four h-avy metals and other dangerous substances present in packaging and their release into the environment - Part 1: Requirements for measuring and verifying the four heavy metals present in packaging</w:t>
            </w:r>
          </w:p>
          <w:p w:rsidR="000660AC" w:rsidRPr="002F6A28" w:rsidRDefault="005F6F35" w:rsidP="009E75ED">
            <w:pPr>
              <w:numPr>
                <w:ilvl w:val="0"/>
                <w:numId w:val="16"/>
              </w:numPr>
              <w:spacing w:before="120" w:after="120"/>
              <w:jc w:val="left"/>
              <w:rPr>
                <w:bCs/>
              </w:rPr>
            </w:pPr>
            <w:r w:rsidRPr="002F6A28">
              <w:rPr>
                <w:bCs/>
              </w:rPr>
              <w:t xml:space="preserve">EN 13432, </w:t>
            </w:r>
            <w:r w:rsidRPr="002F6A28">
              <w:rPr>
                <w:bCs/>
                <w:i/>
                <w:iCs/>
              </w:rPr>
              <w:t xml:space="preserve">Packaging - Requirements for packaging recoverable through composting and biodegradation - Test scheme and evaluation criteria for the final acceptance of packaging </w:t>
            </w:r>
          </w:p>
          <w:p w:rsidR="000660AC" w:rsidRPr="002F6A28" w:rsidRDefault="005F6F35" w:rsidP="009E75ED">
            <w:pPr>
              <w:numPr>
                <w:ilvl w:val="0"/>
                <w:numId w:val="16"/>
              </w:numPr>
              <w:spacing w:before="120" w:after="120"/>
              <w:jc w:val="left"/>
              <w:rPr>
                <w:bCs/>
              </w:rPr>
            </w:pPr>
            <w:r w:rsidRPr="005C6195">
              <w:rPr>
                <w:bCs/>
              </w:rPr>
              <w:t>EN 14995</w:t>
            </w:r>
            <w:r w:rsidRPr="002F6A28">
              <w:rPr>
                <w:bCs/>
                <w:i/>
                <w:iCs/>
              </w:rPr>
              <w:t xml:space="preserve">, Plastics -Evaluation of compostability - Test scheme and specifications  </w:t>
            </w:r>
          </w:p>
        </w:tc>
      </w:tr>
      <w:tr w:rsidR="00E33EEC" w:rsidTr="00AE6CC8">
        <w:trPr>
          <w:cantSplit/>
        </w:trPr>
        <w:tc>
          <w:tcPr>
            <w:tcW w:w="713" w:type="dxa"/>
            <w:tcBorders>
              <w:top w:val="single" w:sz="6" w:space="0" w:color="auto"/>
              <w:bottom w:val="single" w:sz="6" w:space="0" w:color="auto"/>
            </w:tcBorders>
            <w:shd w:val="clear" w:color="auto" w:fill="auto"/>
          </w:tcPr>
          <w:p w:rsidR="00EE3A11" w:rsidRPr="002F6A28" w:rsidRDefault="005F6F3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5F6F35" w:rsidP="008953C4">
            <w:pPr>
              <w:spacing w:before="120" w:after="120"/>
            </w:pPr>
            <w:bookmarkStart w:id="29" w:name="X_TBT_Reg_9A"/>
            <w:r w:rsidRPr="002F6A28">
              <w:rPr>
                <w:b/>
              </w:rPr>
              <w:t>Proposed date of adoption</w:t>
            </w:r>
            <w:bookmarkEnd w:id="29"/>
            <w:r w:rsidRPr="002F6A28">
              <w:rPr>
                <w:b/>
              </w:rPr>
              <w:t>:</w:t>
            </w:r>
            <w:r w:rsidRPr="00C379C8">
              <w:t xml:space="preserve"> 7 May 2021</w:t>
            </w:r>
            <w:bookmarkStart w:id="30" w:name="sps10a"/>
            <w:bookmarkStart w:id="31" w:name="sps10b"/>
            <w:bookmarkEnd w:id="30"/>
            <w:bookmarkEnd w:id="31"/>
          </w:p>
          <w:p w:rsidR="00EE3A11" w:rsidRPr="002F6A28" w:rsidRDefault="005F6F35" w:rsidP="008953C4">
            <w:pPr>
              <w:spacing w:after="120"/>
            </w:pPr>
            <w:bookmarkStart w:id="32" w:name="X_TBT_Reg_9B"/>
            <w:r w:rsidRPr="002F6A28">
              <w:rPr>
                <w:b/>
              </w:rPr>
              <w:t>Proposed date of entry into force</w:t>
            </w:r>
            <w:bookmarkEnd w:id="32"/>
            <w:r w:rsidRPr="002F6A28">
              <w:rPr>
                <w:b/>
              </w:rPr>
              <w:t>:</w:t>
            </w:r>
            <w:r w:rsidRPr="00C379C8">
              <w:t xml:space="preserve"> 4 March 2022</w:t>
            </w:r>
            <w:bookmarkStart w:id="33" w:name="sps11a"/>
            <w:bookmarkStart w:id="34" w:name="sps11b"/>
            <w:bookmarkEnd w:id="33"/>
            <w:r w:rsidRPr="002F6A28">
              <w:t>; Upon declaration as compulsory by the Minister for Trade and Industry and publication of Notice of Declaration</w:t>
            </w:r>
            <w:bookmarkEnd w:id="34"/>
          </w:p>
        </w:tc>
      </w:tr>
      <w:tr w:rsidR="00E33EEC" w:rsidTr="005F6F35">
        <w:tc>
          <w:tcPr>
            <w:tcW w:w="713" w:type="dxa"/>
            <w:tcBorders>
              <w:top w:val="single" w:sz="6" w:space="0" w:color="auto"/>
              <w:bottom w:val="single" w:sz="6" w:space="0" w:color="auto"/>
            </w:tcBorders>
            <w:shd w:val="clear" w:color="auto" w:fill="auto"/>
          </w:tcPr>
          <w:p w:rsidR="00F85C99" w:rsidRPr="002F6A28" w:rsidRDefault="005F6F3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5F6F3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E33EEC" w:rsidTr="005F6F35">
        <w:tc>
          <w:tcPr>
            <w:tcW w:w="713" w:type="dxa"/>
            <w:tcBorders>
              <w:top w:val="single" w:sz="6" w:space="0" w:color="auto"/>
              <w:bottom w:val="double" w:sz="6" w:space="0" w:color="auto"/>
            </w:tcBorders>
            <w:shd w:val="clear" w:color="auto" w:fill="auto"/>
          </w:tcPr>
          <w:p w:rsidR="00F85C99" w:rsidRPr="002F6A28" w:rsidRDefault="005F6F35" w:rsidP="00E969D2">
            <w:pPr>
              <w:keepNext/>
              <w:keepLines/>
              <w:spacing w:before="120" w:after="120"/>
              <w:jc w:val="left"/>
              <w:rPr>
                <w:b/>
              </w:rPr>
            </w:pPr>
            <w:r w:rsidRPr="002F6A28">
              <w:rPr>
                <w:b/>
              </w:rPr>
              <w:t>11.</w:t>
            </w:r>
          </w:p>
        </w:tc>
        <w:tc>
          <w:tcPr>
            <w:tcW w:w="8546" w:type="dxa"/>
            <w:tcBorders>
              <w:top w:val="single" w:sz="6" w:space="0" w:color="auto"/>
              <w:bottom w:val="double" w:sz="6" w:space="0" w:color="auto"/>
            </w:tcBorders>
            <w:shd w:val="clear" w:color="auto" w:fill="auto"/>
          </w:tcPr>
          <w:p w:rsidR="00F85C99" w:rsidRPr="002F6A28" w:rsidRDefault="005F6F3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0660AC" w:rsidRPr="002F6A28" w:rsidRDefault="005F6F35" w:rsidP="005C6195">
            <w:pPr>
              <w:keepNext/>
              <w:keepLines/>
              <w:spacing w:before="120" w:after="120"/>
              <w:jc w:val="left"/>
            </w:pPr>
            <w:r w:rsidRPr="002F6A28">
              <w:t xml:space="preserve">WTO/TBT Enquiry Point </w:t>
            </w:r>
            <w:r w:rsidRPr="002F6A28">
              <w:br/>
              <w:t>P.O. Box 467</w:t>
            </w:r>
            <w:r w:rsidRPr="002F6A28">
              <w:br/>
              <w:t xml:space="preserve">Port of Spain </w:t>
            </w:r>
            <w:r w:rsidRPr="002F6A28">
              <w:br/>
            </w:r>
            <w:r w:rsidRPr="002F6A28">
              <w:br/>
              <w:t>+(868) 662 88 27; Ext: 2531</w:t>
            </w:r>
            <w:r w:rsidRPr="002F6A28">
              <w:br/>
              <w:t>+(868) 663 43 35 (Fax)</w:t>
            </w:r>
            <w:r w:rsidRPr="002F6A28">
              <w:br/>
            </w:r>
            <w:hyperlink r:id="rId10" w:history="1">
              <w:r w:rsidRPr="002F6A28">
                <w:rPr>
                  <w:color w:val="0000FF"/>
                  <w:u w:val="single"/>
                </w:rPr>
                <w:t>enquiry.point@ttbs.org.tt</w:t>
              </w:r>
            </w:hyperlink>
            <w:r w:rsidRPr="002F6A28">
              <w:t xml:space="preserve"> or </w:t>
            </w:r>
            <w:hyperlink r:id="rId11" w:history="1">
              <w:r w:rsidRPr="002F6A28">
                <w:rPr>
                  <w:color w:val="0000FF"/>
                  <w:u w:val="single"/>
                </w:rPr>
                <w:t>ttbs@ttbs.org.tt</w:t>
              </w:r>
            </w:hyperlink>
            <w:r w:rsidRPr="002F6A28">
              <w:br/>
            </w:r>
            <w:hyperlink r:id="rId12" w:history="1">
              <w:r w:rsidRPr="002F6A28">
                <w:rPr>
                  <w:color w:val="0000FF"/>
                  <w:u w:val="single"/>
                </w:rPr>
                <w:t>http://www.gottbs.com</w:t>
              </w:r>
            </w:hyperlink>
            <w:r w:rsidRPr="002F6A28">
              <w:br/>
            </w:r>
            <w:r w:rsidRPr="002F6A28">
              <w:br/>
            </w:r>
            <w:hyperlink r:id="rId13" w:history="1">
              <w:r w:rsidRPr="002F6A28">
                <w:rPr>
                  <w:color w:val="0000FF"/>
                  <w:u w:val="single"/>
                </w:rPr>
                <w:t>https://gottbs.com/2020/11/04/for-public-comment-pcttcs-920xx-biodegradable-materials-food-contact-single-use-products-and-packaging-compulsory-requirements</w:t>
              </w:r>
            </w:hyperlink>
            <w:bookmarkEnd w:id="40"/>
          </w:p>
        </w:tc>
      </w:tr>
    </w:tbl>
    <w:p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1C9" w:rsidRDefault="005F6F35">
      <w:r>
        <w:separator/>
      </w:r>
    </w:p>
  </w:endnote>
  <w:endnote w:type="continuationSeparator" w:id="0">
    <w:p w:rsidR="001741C9" w:rsidRDefault="005F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6F3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6F3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5F6F3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1C9" w:rsidRDefault="005F6F35">
      <w:r>
        <w:separator/>
      </w:r>
    </w:p>
  </w:footnote>
  <w:footnote w:type="continuationSeparator" w:id="0">
    <w:p w:rsidR="001741C9" w:rsidRDefault="005F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6F35"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5F6F3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5F6F35" w:rsidP="009239F7">
    <w:pPr>
      <w:pStyle w:val="Header"/>
      <w:pBdr>
        <w:bottom w:val="single" w:sz="4" w:space="1" w:color="auto"/>
      </w:pBdr>
      <w:tabs>
        <w:tab w:val="clear" w:pos="4513"/>
        <w:tab w:val="clear" w:pos="9027"/>
      </w:tabs>
      <w:jc w:val="center"/>
    </w:pPr>
    <w:bookmarkStart w:id="41" w:name="spsSymbolHeader"/>
    <w:r w:rsidRPr="002F6A28">
      <w:t>G/TBT/N/TTO/126</w:t>
    </w:r>
    <w:bookmarkEnd w:id="41"/>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5F6F3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3EEC"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E33EEC" w:rsidTr="008612A9">
      <w:trPr>
        <w:trHeight w:val="213"/>
        <w:jc w:val="center"/>
      </w:trPr>
      <w:tc>
        <w:tcPr>
          <w:tcW w:w="3794" w:type="dxa"/>
          <w:vMerge w:val="restart"/>
          <w:shd w:val="clear" w:color="auto" w:fill="FFFFFF"/>
          <w:tcMar>
            <w:left w:w="0" w:type="dxa"/>
            <w:right w:w="0" w:type="dxa"/>
          </w:tcMar>
        </w:tcPr>
        <w:p w:rsidR="00ED54E0" w:rsidRPr="009239F7" w:rsidRDefault="005F6F35"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714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E33EEC"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5F6F35" w:rsidP="00B801E9">
          <w:pPr>
            <w:jc w:val="right"/>
            <w:rPr>
              <w:b/>
              <w:szCs w:val="16"/>
            </w:rPr>
          </w:pPr>
          <w:bookmarkStart w:id="43" w:name="bmkSymbols"/>
          <w:r w:rsidRPr="002F6A28">
            <w:rPr>
              <w:b/>
              <w:szCs w:val="16"/>
            </w:rPr>
            <w:t>G/TBT/N/TTO/126</w:t>
          </w:r>
          <w:bookmarkEnd w:id="43"/>
        </w:p>
      </w:tc>
    </w:tr>
    <w:tr w:rsidR="00E33EEC"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845271" w:rsidP="00B801E9">
          <w:pPr>
            <w:jc w:val="right"/>
            <w:rPr>
              <w:szCs w:val="16"/>
            </w:rPr>
          </w:pPr>
          <w:bookmarkStart w:id="44" w:name="spsDateDistribution"/>
          <w:bookmarkStart w:id="45" w:name="bmkDate"/>
          <w:bookmarkEnd w:id="44"/>
          <w:bookmarkEnd w:id="45"/>
          <w:r>
            <w:rPr>
              <w:szCs w:val="16"/>
            </w:rPr>
            <w:t>5 November 2020</w:t>
          </w:r>
        </w:p>
      </w:tc>
    </w:tr>
    <w:tr w:rsidR="00E33EEC"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F6F35" w:rsidP="0097650D">
          <w:pPr>
            <w:jc w:val="left"/>
            <w:rPr>
              <w:b/>
            </w:rPr>
          </w:pPr>
          <w:bookmarkStart w:id="46" w:name="bmkSerial"/>
          <w:r w:rsidRPr="002F6A28">
            <w:rPr>
              <w:color w:val="FF0000"/>
              <w:szCs w:val="16"/>
            </w:rPr>
            <w:t>(</w:t>
          </w:r>
          <w:bookmarkStart w:id="47" w:name="spsSerialNumber"/>
          <w:bookmarkEnd w:id="47"/>
          <w:r w:rsidR="00845271">
            <w:rPr>
              <w:color w:val="FF0000"/>
              <w:szCs w:val="16"/>
            </w:rPr>
            <w:t>20-</w:t>
          </w:r>
          <w:r w:rsidR="001673AE">
            <w:rPr>
              <w:color w:val="FF0000"/>
              <w:szCs w:val="16"/>
            </w:rPr>
            <w:t>7868</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5F6F3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33EEC"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F6F3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5F6F3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DCB390">
      <w:start w:val="1"/>
      <w:numFmt w:val="decimal"/>
      <w:pStyle w:val="SummaryText"/>
      <w:lvlText w:val="%1."/>
      <w:lvlJc w:val="left"/>
      <w:pPr>
        <w:ind w:left="360" w:hanging="360"/>
      </w:pPr>
    </w:lvl>
    <w:lvl w:ilvl="1" w:tplc="2EACF6AC" w:tentative="1">
      <w:start w:val="1"/>
      <w:numFmt w:val="lowerLetter"/>
      <w:lvlText w:val="%2."/>
      <w:lvlJc w:val="left"/>
      <w:pPr>
        <w:ind w:left="1080" w:hanging="360"/>
      </w:pPr>
    </w:lvl>
    <w:lvl w:ilvl="2" w:tplc="C4128192" w:tentative="1">
      <w:start w:val="1"/>
      <w:numFmt w:val="lowerRoman"/>
      <w:lvlText w:val="%3."/>
      <w:lvlJc w:val="right"/>
      <w:pPr>
        <w:ind w:left="1800" w:hanging="180"/>
      </w:pPr>
    </w:lvl>
    <w:lvl w:ilvl="3" w:tplc="507E803C" w:tentative="1">
      <w:start w:val="1"/>
      <w:numFmt w:val="decimal"/>
      <w:lvlText w:val="%4."/>
      <w:lvlJc w:val="left"/>
      <w:pPr>
        <w:ind w:left="2520" w:hanging="360"/>
      </w:pPr>
    </w:lvl>
    <w:lvl w:ilvl="4" w:tplc="0158DEF6" w:tentative="1">
      <w:start w:val="1"/>
      <w:numFmt w:val="lowerLetter"/>
      <w:lvlText w:val="%5."/>
      <w:lvlJc w:val="left"/>
      <w:pPr>
        <w:ind w:left="3240" w:hanging="360"/>
      </w:pPr>
    </w:lvl>
    <w:lvl w:ilvl="5" w:tplc="1EA4EBCA" w:tentative="1">
      <w:start w:val="1"/>
      <w:numFmt w:val="lowerRoman"/>
      <w:lvlText w:val="%6."/>
      <w:lvlJc w:val="right"/>
      <w:pPr>
        <w:ind w:left="3960" w:hanging="180"/>
      </w:pPr>
    </w:lvl>
    <w:lvl w:ilvl="6" w:tplc="50BA6A54" w:tentative="1">
      <w:start w:val="1"/>
      <w:numFmt w:val="decimal"/>
      <w:lvlText w:val="%7."/>
      <w:lvlJc w:val="left"/>
      <w:pPr>
        <w:ind w:left="4680" w:hanging="360"/>
      </w:pPr>
    </w:lvl>
    <w:lvl w:ilvl="7" w:tplc="754C7672" w:tentative="1">
      <w:start w:val="1"/>
      <w:numFmt w:val="lowerLetter"/>
      <w:lvlText w:val="%8."/>
      <w:lvlJc w:val="left"/>
      <w:pPr>
        <w:ind w:left="5400" w:hanging="360"/>
      </w:pPr>
    </w:lvl>
    <w:lvl w:ilvl="8" w:tplc="8B0CD09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A7A7D4A">
      <w:start w:val="1"/>
      <w:numFmt w:val="bullet"/>
      <w:lvlText w:val=""/>
      <w:lvlJc w:val="left"/>
      <w:pPr>
        <w:ind w:left="720" w:hanging="360"/>
      </w:pPr>
      <w:rPr>
        <w:rFonts w:ascii="Symbol" w:hAnsi="Symbol"/>
      </w:rPr>
    </w:lvl>
    <w:lvl w:ilvl="1" w:tplc="1EFC140A">
      <w:start w:val="1"/>
      <w:numFmt w:val="bullet"/>
      <w:lvlText w:val="o"/>
      <w:lvlJc w:val="left"/>
      <w:pPr>
        <w:tabs>
          <w:tab w:val="num" w:pos="1440"/>
        </w:tabs>
        <w:ind w:left="1440" w:hanging="360"/>
      </w:pPr>
      <w:rPr>
        <w:rFonts w:ascii="Courier New" w:hAnsi="Courier New"/>
      </w:rPr>
    </w:lvl>
    <w:lvl w:ilvl="2" w:tplc="07B655C2">
      <w:start w:val="1"/>
      <w:numFmt w:val="bullet"/>
      <w:lvlText w:val=""/>
      <w:lvlJc w:val="left"/>
      <w:pPr>
        <w:tabs>
          <w:tab w:val="num" w:pos="2160"/>
        </w:tabs>
        <w:ind w:left="2160" w:hanging="360"/>
      </w:pPr>
      <w:rPr>
        <w:rFonts w:ascii="Wingdings" w:hAnsi="Wingdings"/>
      </w:rPr>
    </w:lvl>
    <w:lvl w:ilvl="3" w:tplc="6FCE9620">
      <w:start w:val="1"/>
      <w:numFmt w:val="bullet"/>
      <w:lvlText w:val=""/>
      <w:lvlJc w:val="left"/>
      <w:pPr>
        <w:tabs>
          <w:tab w:val="num" w:pos="2880"/>
        </w:tabs>
        <w:ind w:left="2880" w:hanging="360"/>
      </w:pPr>
      <w:rPr>
        <w:rFonts w:ascii="Symbol" w:hAnsi="Symbol"/>
      </w:rPr>
    </w:lvl>
    <w:lvl w:ilvl="4" w:tplc="DDD836A8">
      <w:start w:val="1"/>
      <w:numFmt w:val="bullet"/>
      <w:lvlText w:val="o"/>
      <w:lvlJc w:val="left"/>
      <w:pPr>
        <w:tabs>
          <w:tab w:val="num" w:pos="3600"/>
        </w:tabs>
        <w:ind w:left="3600" w:hanging="360"/>
      </w:pPr>
      <w:rPr>
        <w:rFonts w:ascii="Courier New" w:hAnsi="Courier New"/>
      </w:rPr>
    </w:lvl>
    <w:lvl w:ilvl="5" w:tplc="47922F2A">
      <w:start w:val="1"/>
      <w:numFmt w:val="bullet"/>
      <w:lvlText w:val=""/>
      <w:lvlJc w:val="left"/>
      <w:pPr>
        <w:tabs>
          <w:tab w:val="num" w:pos="4320"/>
        </w:tabs>
        <w:ind w:left="4320" w:hanging="360"/>
      </w:pPr>
      <w:rPr>
        <w:rFonts w:ascii="Wingdings" w:hAnsi="Wingdings"/>
      </w:rPr>
    </w:lvl>
    <w:lvl w:ilvl="6" w:tplc="ABDCA30A">
      <w:start w:val="1"/>
      <w:numFmt w:val="bullet"/>
      <w:lvlText w:val=""/>
      <w:lvlJc w:val="left"/>
      <w:pPr>
        <w:tabs>
          <w:tab w:val="num" w:pos="5040"/>
        </w:tabs>
        <w:ind w:left="5040" w:hanging="360"/>
      </w:pPr>
      <w:rPr>
        <w:rFonts w:ascii="Symbol" w:hAnsi="Symbol"/>
      </w:rPr>
    </w:lvl>
    <w:lvl w:ilvl="7" w:tplc="6A1400FE">
      <w:start w:val="1"/>
      <w:numFmt w:val="bullet"/>
      <w:lvlText w:val="o"/>
      <w:lvlJc w:val="left"/>
      <w:pPr>
        <w:tabs>
          <w:tab w:val="num" w:pos="5760"/>
        </w:tabs>
        <w:ind w:left="5760" w:hanging="360"/>
      </w:pPr>
      <w:rPr>
        <w:rFonts w:ascii="Courier New" w:hAnsi="Courier New"/>
      </w:rPr>
    </w:lvl>
    <w:lvl w:ilvl="8" w:tplc="7376F45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60AC"/>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73AE"/>
    <w:rsid w:val="001741C9"/>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C6195"/>
    <w:rsid w:val="005D5981"/>
    <w:rsid w:val="005F30CB"/>
    <w:rsid w:val="005F6444"/>
    <w:rsid w:val="005F6F35"/>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5271"/>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22A1"/>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33EEC"/>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gmail.com" TargetMode="External"/><Relationship Id="rId13" Type="http://schemas.openxmlformats.org/officeDocument/2006/relationships/hyperlink" Target="https://gottbs.com/2020/11/04/for-public-comment-pcttcs-920xx-biodegradable-materials-food-contact-single-use-products-and-packaging-compulsory-requirem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tbs@ttbs.org.tt" TargetMode="External"/><Relationship Id="rId12" Type="http://schemas.openxmlformats.org/officeDocument/2006/relationships/hyperlink" Target="http://www.gottb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tbs@ttbs.org.t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nquiry.point@ttbs.org.t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ttbs.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2020-11-05T09:37:00Z</dcterms:created>
  <dcterms:modified xsi:type="dcterms:W3CDTF">2020-11-05T11:40:00Z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d12ab756-3c85-4890-bb78-22a98b1fb2d8</vt:lpwstr>
  </property>
  <property fmtid="{D5CDD505-2E9C-101B-9397-08002B2CF9AE}" pid="4" name="WTOCLASSIFICATION">
    <vt:lpwstr>WTO OFFICIAL</vt:lpwstr>
  </property>
</Properties>
</file>