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9F7" w:rsidRPr="002F6A28" w:rsidRDefault="00833CDE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:rsidR="009239F7" w:rsidRPr="002F6A28" w:rsidRDefault="00833CDE" w:rsidP="002F6A28">
      <w:pPr>
        <w:jc w:val="center"/>
      </w:pPr>
      <w:r w:rsidRPr="002F6A28">
        <w:t>The following notification is being circulated in accordance with Article 10.6</w:t>
      </w:r>
    </w:p>
    <w:p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D318C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833CD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833CDE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Thailand</w:t>
            </w:r>
            <w:bookmarkEnd w:id="1"/>
            <w:r w:rsidRPr="002F6A28">
              <w:t xml:space="preserve"> </w:t>
            </w:r>
          </w:p>
          <w:p w:rsidR="00F85C99" w:rsidRPr="002F6A28" w:rsidRDefault="00833CDE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D318C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33CD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33CDE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Thai Industrial Standards Institute (TISI), Ministry of Industry</w:t>
            </w:r>
            <w:bookmarkEnd w:id="5"/>
          </w:p>
          <w:p w:rsidR="00F85C99" w:rsidRPr="002F6A28" w:rsidRDefault="00833CDE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:rsidR="00FD318C" w:rsidRPr="002F6A28" w:rsidRDefault="00833CDE" w:rsidP="00AA646C">
            <w:r w:rsidRPr="002F6A28">
              <w:t>WTO/TBT Enquiry Point and Notification Authority</w:t>
            </w:r>
          </w:p>
          <w:p w:rsidR="00FD318C" w:rsidRPr="002F6A28" w:rsidRDefault="00833CDE" w:rsidP="00AA646C">
            <w:r w:rsidRPr="002F6A28">
              <w:t xml:space="preserve">Thai Industrial Standards Institute (TISI), Ministry of Industry </w:t>
            </w:r>
          </w:p>
          <w:p w:rsidR="00FD318C" w:rsidRPr="002F6A28" w:rsidRDefault="00833CDE" w:rsidP="00AA646C">
            <w:r w:rsidRPr="002F6A28">
              <w:t xml:space="preserve">Tel.: (662) 202 3504, 202 3523 </w:t>
            </w:r>
          </w:p>
          <w:p w:rsidR="00FD318C" w:rsidRPr="002F6A28" w:rsidRDefault="00833CDE" w:rsidP="00AA646C">
            <w:r w:rsidRPr="002F6A28">
              <w:t xml:space="preserve">Fax: (662) 202 3511, 354 3041 </w:t>
            </w:r>
          </w:p>
          <w:p w:rsidR="00FD318C" w:rsidRPr="002F6A28" w:rsidRDefault="00833CDE" w:rsidP="00AA646C">
            <w:r w:rsidRPr="002F6A28">
              <w:t xml:space="preserve">E-mail: </w:t>
            </w:r>
            <w:hyperlink r:id="rId7" w:history="1">
              <w:r w:rsidRPr="00741E9A">
                <w:rPr>
                  <w:rStyle w:val="Lienhypertexte"/>
                </w:rPr>
                <w:t>thaitbt@tisi.mail.go.th</w:t>
              </w:r>
            </w:hyperlink>
            <w:r>
              <w:t xml:space="preserve"> </w:t>
            </w:r>
          </w:p>
          <w:p w:rsidR="00FD318C" w:rsidRPr="002F6A28" w:rsidRDefault="00833CDE" w:rsidP="00AA646C">
            <w:pPr>
              <w:spacing w:after="120"/>
            </w:pPr>
            <w:r w:rsidRPr="002F6A28"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http://www.tisi.go.th</w:t>
              </w:r>
            </w:hyperlink>
            <w:bookmarkEnd w:id="7"/>
          </w:p>
        </w:tc>
      </w:tr>
      <w:tr w:rsidR="00FD318C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33CD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58336F" w:rsidRDefault="00833CDE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End w:id="16"/>
            <w:r w:rsidR="00FF5C69">
              <w:rPr>
                <w:b/>
              </w:rPr>
              <w:t>:</w:t>
            </w:r>
            <w:r w:rsidR="0058336F">
              <w:rPr>
                <w:b/>
              </w:rPr>
              <w:t xml:space="preserve"> </w:t>
            </w:r>
            <w:bookmarkStart w:id="17" w:name="tbt3e"/>
            <w:bookmarkEnd w:id="17"/>
          </w:p>
        </w:tc>
      </w:tr>
      <w:tr w:rsidR="00FD318C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33CD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33CDE" w:rsidP="002F6A28">
            <w:pPr>
              <w:spacing w:before="120" w:after="120"/>
            </w:pPr>
            <w:bookmarkStart w:id="18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8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9" w:name="sps3a"/>
            <w:r w:rsidRPr="002F6A28">
              <w:rPr>
                <w:bCs/>
              </w:rPr>
              <w:t>Ventilators. Fans. Air-conditioners (ICS 23.120)</w:t>
            </w:r>
            <w:bookmarkEnd w:id="19"/>
          </w:p>
        </w:tc>
      </w:tr>
      <w:tr w:rsidR="00FD318C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33CD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33CDE" w:rsidP="002F6A28">
            <w:pPr>
              <w:spacing w:before="120" w:after="120"/>
            </w:pPr>
            <w:bookmarkStart w:id="20" w:name="X_TBT_Reg_5A"/>
            <w:r w:rsidRPr="002F6A28">
              <w:rPr>
                <w:b/>
              </w:rPr>
              <w:t>Title, number of pages and language(s) of the notified document</w:t>
            </w:r>
            <w:bookmarkEnd w:id="2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1" w:name="sps5a"/>
            <w:r w:rsidRPr="002F6A28">
              <w:t>Draft Thai Industrial Standard for air–conditioner: Safety Requirement (TIS 1529 – 25XX(20XX)) (62 page(s), in Thai)</w:t>
            </w:r>
            <w:bookmarkStart w:id="22" w:name="sps5c"/>
            <w:bookmarkStart w:id="23" w:name="sps5b"/>
            <w:bookmarkEnd w:id="21"/>
            <w:bookmarkEnd w:id="22"/>
            <w:bookmarkEnd w:id="23"/>
          </w:p>
        </w:tc>
      </w:tr>
      <w:tr w:rsidR="00FD318C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33CD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33CDE" w:rsidP="002F6A28">
            <w:pPr>
              <w:spacing w:before="120" w:after="120"/>
              <w:rPr>
                <w:b/>
              </w:rPr>
            </w:pPr>
            <w:bookmarkStart w:id="24" w:name="X_TBT_Reg_6A"/>
            <w:r w:rsidRPr="002F6A28">
              <w:rPr>
                <w:b/>
              </w:rPr>
              <w:t>Description of content</w:t>
            </w:r>
            <w:bookmarkEnd w:id="24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r w:rsidRPr="002F6A28">
              <w:t>The Thai Industrial Standards Institute (TISI) has proposed a new mandatory standard onair–conditioner: Safety Requirement (TIS 1529 – 25XX (20XX)).</w:t>
            </w:r>
          </w:p>
          <w:p w:rsidR="00FD318C" w:rsidRPr="002F6A28" w:rsidRDefault="00833CDE" w:rsidP="002F6A28">
            <w:pPr>
              <w:spacing w:before="120" w:after="120"/>
            </w:pPr>
            <w:r w:rsidRPr="002F6A28">
              <w:t xml:space="preserve">This draft standard </w:t>
            </w:r>
            <w:r w:rsidRPr="002F6A28">
              <w:rPr>
                <w:lang w:eastAsia="en-GB"/>
              </w:rPr>
              <w:t xml:space="preserve">covers </w:t>
            </w:r>
            <w:r w:rsidRPr="002F6A28">
              <w:t>the safety requirement of air-conditioners incorporating motor-compressors:</w:t>
            </w:r>
          </w:p>
          <w:p w:rsidR="00FD318C" w:rsidRPr="002F6A28" w:rsidRDefault="00833CDE" w:rsidP="002F6A28">
            <w:pPr>
              <w:spacing w:before="120" w:after="120"/>
            </w:pPr>
            <w:r w:rsidRPr="002F6A28">
              <w:t>-</w:t>
            </w:r>
            <w:r w:rsidR="00AE4CD5">
              <w:tab/>
            </w:r>
            <w:r w:rsidRPr="002F6A28">
              <w:t>maximum rated voltages not more than 250 V for single phase appliances</w:t>
            </w:r>
          </w:p>
          <w:p w:rsidR="00FD318C" w:rsidRPr="002F6A28" w:rsidRDefault="00833CDE" w:rsidP="002F6A28">
            <w:pPr>
              <w:spacing w:before="120" w:after="120"/>
            </w:pPr>
            <w:r w:rsidRPr="002F6A28">
              <w:t>-</w:t>
            </w:r>
            <w:r w:rsidR="00AE4CD5">
              <w:tab/>
            </w:r>
            <w:r w:rsidRPr="002F6A28">
              <w:t>maximum rated voltages not more than 600 V for poly phase appliances</w:t>
            </w:r>
          </w:p>
          <w:p w:rsidR="00FD318C" w:rsidRPr="002F6A28" w:rsidRDefault="00833CDE" w:rsidP="002F6A28">
            <w:pPr>
              <w:spacing w:before="120" w:after="120"/>
            </w:pPr>
            <w:r w:rsidRPr="002F6A28">
              <w:t>-</w:t>
            </w:r>
            <w:r w:rsidR="00AE4CD5">
              <w:tab/>
            </w:r>
            <w:r w:rsidRPr="002F6A28">
              <w:t>Partial units</w:t>
            </w:r>
          </w:p>
          <w:p w:rsidR="00FD318C" w:rsidRPr="002F6A28" w:rsidRDefault="00833CDE" w:rsidP="002F6A28">
            <w:pPr>
              <w:spacing w:before="120" w:after="120"/>
            </w:pPr>
            <w:r w:rsidRPr="002F6A28">
              <w:t>-</w:t>
            </w:r>
            <w:r w:rsidR="00AE4CD5">
              <w:tab/>
            </w:r>
            <w:r w:rsidRPr="002F6A28">
              <w:t xml:space="preserve">net </w:t>
            </w:r>
            <w:r w:rsidRPr="002F6A28">
              <w:rPr>
                <w:lang w:eastAsia="en-GB"/>
              </w:rPr>
              <w:t>total cooling capacity not more than 18 000 W</w:t>
            </w:r>
          </w:p>
          <w:p w:rsidR="00FD318C" w:rsidRPr="002F6A28" w:rsidRDefault="00833CDE" w:rsidP="00AE4CD5">
            <w:pPr>
              <w:spacing w:before="120" w:after="120"/>
              <w:ind w:left="567" w:hanging="567"/>
            </w:pPr>
            <w:r w:rsidRPr="002F6A28">
              <w:rPr>
                <w:lang w:eastAsia="en-GB"/>
              </w:rPr>
              <w:t>-</w:t>
            </w:r>
            <w:r w:rsidR="00AE4CD5">
              <w:rPr>
                <w:lang w:eastAsia="en-GB"/>
              </w:rPr>
              <w:tab/>
            </w:r>
            <w:r w:rsidRPr="002F6A28">
              <w:rPr>
                <w:lang w:eastAsia="en-GB"/>
              </w:rPr>
              <w:t>not intended for normal household use but which nevertheless may be a source of danger to the public, such as appliances intended to be used by laymen in shops, in light industry and on farms</w:t>
            </w:r>
          </w:p>
          <w:p w:rsidR="00FD318C" w:rsidRPr="002F6A28" w:rsidRDefault="00833CDE" w:rsidP="002F6A28">
            <w:pPr>
              <w:spacing w:before="120" w:after="120"/>
            </w:pPr>
            <w:r w:rsidRPr="002F6A28">
              <w:rPr>
                <w:lang w:eastAsia="en-GB"/>
              </w:rPr>
              <w:t>-</w:t>
            </w:r>
            <w:r w:rsidR="00AE4CD5">
              <w:rPr>
                <w:lang w:eastAsia="en-GB"/>
              </w:rPr>
              <w:tab/>
            </w:r>
            <w:r w:rsidRPr="002F6A28">
              <w:rPr>
                <w:lang w:eastAsia="en-GB"/>
              </w:rPr>
              <w:t xml:space="preserve">may consist of one or more factory made assemblies </w:t>
            </w:r>
          </w:p>
          <w:p w:rsidR="00FD318C" w:rsidRPr="002F6A28" w:rsidRDefault="00833CDE" w:rsidP="002F6A28">
            <w:pPr>
              <w:spacing w:before="120" w:after="120"/>
            </w:pPr>
            <w:r w:rsidRPr="002F6A28">
              <w:rPr>
                <w:lang w:eastAsia="en-GB"/>
              </w:rPr>
              <w:t>-</w:t>
            </w:r>
            <w:r w:rsidR="00AE4CD5">
              <w:rPr>
                <w:lang w:eastAsia="en-GB"/>
              </w:rPr>
              <w:tab/>
            </w:r>
            <w:r w:rsidRPr="002F6A28">
              <w:rPr>
                <w:lang w:eastAsia="en-GB"/>
              </w:rPr>
              <w:t>containing flammable refrigerant</w:t>
            </w:r>
          </w:p>
        </w:tc>
      </w:tr>
      <w:tr w:rsidR="00FD318C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33CD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33CDE" w:rsidP="002F6A28">
            <w:pPr>
              <w:spacing w:before="120" w:after="120"/>
              <w:rPr>
                <w:b/>
              </w:rPr>
            </w:pPr>
            <w:bookmarkStart w:id="25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5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6" w:name="sps7f"/>
            <w:r w:rsidRPr="002F6A28">
              <w:rPr>
                <w:lang w:eastAsia="en-GB"/>
              </w:rPr>
              <w:t>Safety and consumer protection</w:t>
            </w:r>
            <w:r w:rsidRPr="002F6A28">
              <w:t>; Protection of human health or safety; Other</w:t>
            </w:r>
            <w:bookmarkEnd w:id="26"/>
          </w:p>
        </w:tc>
      </w:tr>
      <w:tr w:rsidR="00FD318C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33CDE" w:rsidP="009B6669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B36" w:rsidRPr="002F6A28" w:rsidRDefault="00833CDE" w:rsidP="009B6669">
            <w:pPr>
              <w:keepNext/>
              <w:keepLines/>
              <w:spacing w:before="120" w:after="120"/>
            </w:pPr>
            <w:bookmarkStart w:id="27" w:name="X_TBT_Reg_8A"/>
            <w:r w:rsidRPr="002F6A28">
              <w:rPr>
                <w:b/>
              </w:rPr>
              <w:t>Relevant documents</w:t>
            </w:r>
            <w:bookmarkEnd w:id="27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:rsidR="00FD318C" w:rsidRPr="002F6A28" w:rsidRDefault="00833CDE" w:rsidP="00AE4CD5">
            <w:pPr>
              <w:keepNext/>
              <w:keepLines/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r w:rsidRPr="002F6A28">
              <w:rPr>
                <w:bCs/>
                <w:lang w:eastAsia="en-GB"/>
              </w:rPr>
              <w:t>IEC 60335-2-40: 2013 - Household and similar electrical appliances – Safety – Part 2-40: Particular requirements for electrical heat pumps, air conditioners and dehumidifiers</w:t>
            </w:r>
          </w:p>
          <w:p w:rsidR="00FD318C" w:rsidRPr="002F6A28" w:rsidRDefault="00833CDE" w:rsidP="00AE4CD5">
            <w:pPr>
              <w:keepNext/>
              <w:keepLines/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r w:rsidRPr="002F6A28">
              <w:rPr>
                <w:bCs/>
                <w:lang w:eastAsia="en-GB"/>
              </w:rPr>
              <w:t>IEC 60335-2-40: 2013/AMD1: 2016 - Amendment 1 - Household and similar electrical appliances - Safety - Part 2-40: Particular requirements for electrical heat pumps, air-conditioners and dehumidifiers</w:t>
            </w:r>
          </w:p>
        </w:tc>
      </w:tr>
      <w:tr w:rsidR="00FD318C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833CD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833CDE" w:rsidP="008953C4">
            <w:pPr>
              <w:spacing w:before="120" w:after="120"/>
            </w:pPr>
            <w:bookmarkStart w:id="28" w:name="X_TBT_Reg_9A"/>
            <w:r w:rsidRPr="002F6A28">
              <w:rPr>
                <w:b/>
              </w:rPr>
              <w:t>Proposed date of adoption</w:t>
            </w:r>
            <w:bookmarkEnd w:id="28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29" w:name="sps10a"/>
            <w:bookmarkStart w:id="30" w:name="sps10b"/>
            <w:bookmarkEnd w:id="29"/>
            <w:r w:rsidRPr="002F6A28">
              <w:t>To be determined</w:t>
            </w:r>
            <w:bookmarkEnd w:id="30"/>
          </w:p>
          <w:p w:rsidR="00EE3A11" w:rsidRPr="002F6A28" w:rsidRDefault="00833CDE" w:rsidP="008953C4">
            <w:pPr>
              <w:spacing w:after="120"/>
            </w:pPr>
            <w:bookmarkStart w:id="31" w:name="X_TBT_Reg_9B"/>
            <w:r w:rsidRPr="002F6A28">
              <w:rPr>
                <w:b/>
              </w:rPr>
              <w:t>Proposed date of entry into force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1a"/>
            <w:bookmarkStart w:id="33" w:name="sps11b"/>
            <w:bookmarkEnd w:id="32"/>
            <w:r w:rsidRPr="002F6A28">
              <w:t>To be determined</w:t>
            </w:r>
            <w:bookmarkEnd w:id="33"/>
          </w:p>
        </w:tc>
      </w:tr>
      <w:tr w:rsidR="00FD318C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33CD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33CDE" w:rsidP="002F6A28">
            <w:pPr>
              <w:spacing w:before="120" w:after="120"/>
            </w:pPr>
            <w:bookmarkStart w:id="34" w:name="X_TBT_Reg_10A"/>
            <w:r w:rsidRPr="002F6A28">
              <w:rPr>
                <w:b/>
              </w:rPr>
              <w:t>Final date for comments</w:t>
            </w:r>
            <w:bookmarkEnd w:id="3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5" w:name="sps12a"/>
            <w:r w:rsidRPr="002F6A28">
              <w:rPr>
                <w:bCs/>
              </w:rPr>
              <w:t>60 days from notification</w:t>
            </w:r>
            <w:bookmarkEnd w:id="35"/>
          </w:p>
        </w:tc>
      </w:tr>
      <w:tr w:rsidR="00FD318C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833CDE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833CDE" w:rsidP="00B16145">
            <w:pPr>
              <w:keepNext/>
              <w:keepLines/>
              <w:spacing w:before="120" w:after="120"/>
            </w:pPr>
            <w:bookmarkStart w:id="36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6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7" w:name="sps13b"/>
            <w:r w:rsidRPr="002F6A28">
              <w:rPr>
                <w:b/>
              </w:rPr>
              <w:t>X</w:t>
            </w:r>
            <w:bookmarkEnd w:id="37"/>
            <w:r w:rsidRPr="002F6A28">
              <w:rPr>
                <w:b/>
              </w:rPr>
              <w:t xml:space="preserve">] </w:t>
            </w:r>
            <w:bookmarkStart w:id="38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8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39" w:name="sps13c"/>
          </w:p>
          <w:p w:rsidR="00FD318C" w:rsidRPr="002F6A28" w:rsidRDefault="00833CDE" w:rsidP="00B16145">
            <w:pPr>
              <w:keepNext/>
              <w:keepLines/>
            </w:pPr>
            <w:r w:rsidRPr="002F6A28">
              <w:t>WTO/TBT Enquiry Point and Notification Authority</w:t>
            </w:r>
          </w:p>
          <w:p w:rsidR="00FD318C" w:rsidRPr="002F6A28" w:rsidRDefault="00833CDE" w:rsidP="00B16145">
            <w:pPr>
              <w:keepNext/>
              <w:keepLines/>
            </w:pPr>
            <w:r w:rsidRPr="002F6A28">
              <w:t>Thai Industrial Standards Institute</w:t>
            </w:r>
          </w:p>
          <w:p w:rsidR="00FD318C" w:rsidRPr="002F6A28" w:rsidRDefault="00833CDE" w:rsidP="00B16145">
            <w:pPr>
              <w:keepNext/>
              <w:keepLines/>
            </w:pPr>
            <w:r w:rsidRPr="002F6A28">
              <w:t>Tel: (66 2) 202 3504, 202 3523</w:t>
            </w:r>
          </w:p>
          <w:p w:rsidR="00FD318C" w:rsidRPr="002F6A28" w:rsidRDefault="00833CDE" w:rsidP="00B16145">
            <w:pPr>
              <w:keepNext/>
              <w:keepLines/>
            </w:pPr>
            <w:r w:rsidRPr="002F6A28">
              <w:t>Fax: (66 2) 202 3511, 354 3041</w:t>
            </w:r>
          </w:p>
          <w:p w:rsidR="00FD318C" w:rsidRPr="002F6A28" w:rsidRDefault="00833CDE" w:rsidP="00B16145">
            <w:pPr>
              <w:keepNext/>
              <w:keepLines/>
            </w:pPr>
            <w:r w:rsidRPr="002F6A28">
              <w:t xml:space="preserve">E-mail: </w:t>
            </w:r>
            <w:hyperlink r:id="rId9" w:history="1">
              <w:r w:rsidRPr="00741E9A">
                <w:rPr>
                  <w:rStyle w:val="Lienhypertexte"/>
                </w:rPr>
                <w:t>thaitbt@tisi.mail.go.th</w:t>
              </w:r>
            </w:hyperlink>
            <w:r>
              <w:t xml:space="preserve"> </w:t>
            </w:r>
          </w:p>
          <w:p w:rsidR="00FD318C" w:rsidRPr="002F6A28" w:rsidRDefault="00833CDE" w:rsidP="00B16145">
            <w:pPr>
              <w:keepNext/>
              <w:keepLines/>
              <w:spacing w:after="120"/>
            </w:pPr>
            <w:r w:rsidRPr="002F6A28"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http://www.tisi.go.th</w:t>
              </w:r>
            </w:hyperlink>
          </w:p>
          <w:p w:rsidR="00FD318C" w:rsidRPr="002F6A28" w:rsidRDefault="00D2359B" w:rsidP="00B16145">
            <w:pPr>
              <w:keepNext/>
              <w:keepLines/>
              <w:spacing w:before="120" w:after="120"/>
            </w:pPr>
            <w:hyperlink r:id="rId11" w:history="1">
              <w:r w:rsidR="00833CDE" w:rsidRPr="002F6A28">
                <w:rPr>
                  <w:color w:val="0000FF"/>
                  <w:u w:val="single"/>
                </w:rPr>
                <w:t>https://members.wto.org/crnattachments/2019/TBT/THA/19_1754_00_x.pdf</w:t>
              </w:r>
            </w:hyperlink>
            <w:bookmarkEnd w:id="39"/>
          </w:p>
        </w:tc>
      </w:tr>
    </w:tbl>
    <w:p w:rsidR="00EE3A11" w:rsidRPr="002F6A28" w:rsidRDefault="00EE3A11" w:rsidP="002F6A28"/>
    <w:sectPr w:rsidR="00EE3A11" w:rsidRPr="002F6A28" w:rsidSect="00833C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764" w:rsidRDefault="00833CDE">
      <w:r>
        <w:separator/>
      </w:r>
    </w:p>
  </w:endnote>
  <w:endnote w:type="continuationSeparator" w:id="0">
    <w:p w:rsidR="00314764" w:rsidRDefault="0083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833CDE" w:rsidRDefault="00833CDE" w:rsidP="00833CDE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833CDE" w:rsidRDefault="00833CDE" w:rsidP="00833CDE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A11" w:rsidRPr="002F6A28" w:rsidRDefault="00833CDE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764" w:rsidRDefault="00833CDE">
      <w:r>
        <w:separator/>
      </w:r>
    </w:p>
  </w:footnote>
  <w:footnote w:type="continuationSeparator" w:id="0">
    <w:p w:rsidR="00314764" w:rsidRDefault="00833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CDE" w:rsidRPr="00833CDE" w:rsidRDefault="00833CDE" w:rsidP="00833CD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33CDE">
      <w:t>G/TBT/N/THA/537</w:t>
    </w:r>
  </w:p>
  <w:p w:rsidR="00833CDE" w:rsidRPr="00833CDE" w:rsidRDefault="00833CDE" w:rsidP="00833CD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33CDE" w:rsidRPr="00833CDE" w:rsidRDefault="00833CDE" w:rsidP="00833CD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33CDE">
      <w:t xml:space="preserve">- </w:t>
    </w:r>
    <w:r w:rsidRPr="00833CDE">
      <w:fldChar w:fldCharType="begin"/>
    </w:r>
    <w:r w:rsidRPr="00833CDE">
      <w:instrText xml:space="preserve"> PAGE </w:instrText>
    </w:r>
    <w:r w:rsidRPr="00833CDE">
      <w:fldChar w:fldCharType="separate"/>
    </w:r>
    <w:r w:rsidRPr="00833CDE">
      <w:rPr>
        <w:noProof/>
      </w:rPr>
      <w:t>2</w:t>
    </w:r>
    <w:r w:rsidRPr="00833CDE">
      <w:fldChar w:fldCharType="end"/>
    </w:r>
    <w:r w:rsidRPr="00833CDE">
      <w:t xml:space="preserve"> -</w:t>
    </w:r>
  </w:p>
  <w:p w:rsidR="009239F7" w:rsidRPr="00833CDE" w:rsidRDefault="009239F7" w:rsidP="00833CDE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CDE" w:rsidRPr="00833CDE" w:rsidRDefault="00833CDE" w:rsidP="00833CD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33CDE">
      <w:t>G/TBT/N/THA/537</w:t>
    </w:r>
  </w:p>
  <w:p w:rsidR="00833CDE" w:rsidRPr="00833CDE" w:rsidRDefault="00833CDE" w:rsidP="00833CD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33CDE" w:rsidRPr="00833CDE" w:rsidRDefault="00833CDE" w:rsidP="00833CD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33CDE">
      <w:t xml:space="preserve">- </w:t>
    </w:r>
    <w:r w:rsidRPr="00833CDE">
      <w:fldChar w:fldCharType="begin"/>
    </w:r>
    <w:r w:rsidRPr="00833CDE">
      <w:instrText xml:space="preserve"> PAGE </w:instrText>
    </w:r>
    <w:r w:rsidRPr="00833CDE">
      <w:fldChar w:fldCharType="separate"/>
    </w:r>
    <w:r w:rsidRPr="00833CDE">
      <w:rPr>
        <w:noProof/>
      </w:rPr>
      <w:t>2</w:t>
    </w:r>
    <w:r w:rsidRPr="00833CDE">
      <w:fldChar w:fldCharType="end"/>
    </w:r>
    <w:r w:rsidRPr="00833CDE">
      <w:t xml:space="preserve"> -</w:t>
    </w:r>
  </w:p>
  <w:p w:rsidR="009239F7" w:rsidRPr="00833CDE" w:rsidRDefault="009239F7" w:rsidP="00833CDE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D318C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>
          <w:pPr>
            <w:rPr>
              <w:noProof/>
              <w:lang w:eastAsia="en-GB"/>
            </w:rPr>
          </w:pPr>
          <w:bookmarkStart w:id="4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833CDE" w:rsidP="00B801E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0"/>
    <w:tr w:rsidR="00FD318C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239F7" w:rsidRDefault="00B31D2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0775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7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D318C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33CDE" w:rsidRDefault="00833CDE" w:rsidP="00B801E9">
          <w:pPr>
            <w:jc w:val="right"/>
            <w:rPr>
              <w:b/>
              <w:szCs w:val="16"/>
            </w:rPr>
          </w:pPr>
          <w:bookmarkStart w:id="41" w:name="bmkSymbols"/>
          <w:r>
            <w:rPr>
              <w:b/>
              <w:szCs w:val="16"/>
            </w:rPr>
            <w:t>G/TBT/N/THA/537</w:t>
          </w:r>
        </w:p>
        <w:bookmarkEnd w:id="41"/>
        <w:p w:rsidR="009239F7" w:rsidRPr="002F6A28" w:rsidRDefault="009239F7" w:rsidP="00B801E9">
          <w:pPr>
            <w:jc w:val="right"/>
            <w:rPr>
              <w:b/>
              <w:szCs w:val="16"/>
            </w:rPr>
          </w:pPr>
        </w:p>
      </w:tc>
    </w:tr>
    <w:tr w:rsidR="00FD318C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D2359B" w:rsidP="00B801E9">
          <w:pPr>
            <w:jc w:val="right"/>
            <w:rPr>
              <w:szCs w:val="16"/>
            </w:rPr>
          </w:pPr>
          <w:bookmarkStart w:id="42" w:name="spsDateDistribution"/>
          <w:bookmarkStart w:id="43" w:name="bmkDate"/>
          <w:bookmarkEnd w:id="42"/>
          <w:bookmarkEnd w:id="43"/>
          <w:r>
            <w:rPr>
              <w:szCs w:val="16"/>
            </w:rPr>
            <w:t xml:space="preserve">26 March </w:t>
          </w:r>
          <w:r>
            <w:rPr>
              <w:szCs w:val="16"/>
            </w:rPr>
            <w:t>2019</w:t>
          </w:r>
          <w:bookmarkStart w:id="44" w:name="_GoBack"/>
          <w:bookmarkEnd w:id="44"/>
        </w:p>
      </w:tc>
    </w:tr>
    <w:tr w:rsidR="00FD318C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833CDE" w:rsidP="0097650D">
          <w:pPr>
            <w:jc w:val="left"/>
            <w:rPr>
              <w:b/>
            </w:rPr>
          </w:pPr>
          <w:bookmarkStart w:id="45" w:name="bmkSerial"/>
          <w:r w:rsidRPr="002F6A28">
            <w:rPr>
              <w:color w:val="FF0000"/>
              <w:szCs w:val="16"/>
            </w:rPr>
            <w:t>(</w:t>
          </w:r>
          <w:bookmarkStart w:id="46" w:name="spsSerialNumber"/>
          <w:bookmarkEnd w:id="46"/>
          <w:r w:rsidR="00D2359B">
            <w:rPr>
              <w:color w:val="FF0000"/>
              <w:szCs w:val="16"/>
            </w:rPr>
            <w:t>19-1896</w:t>
          </w:r>
          <w:r w:rsidRPr="002F6A28">
            <w:rPr>
              <w:color w:val="FF0000"/>
              <w:szCs w:val="16"/>
            </w:rPr>
            <w:t>)</w:t>
          </w:r>
          <w:bookmarkEnd w:id="4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833CDE" w:rsidP="00B801E9">
          <w:pPr>
            <w:jc w:val="right"/>
            <w:rPr>
              <w:szCs w:val="16"/>
            </w:rPr>
          </w:pPr>
          <w:bookmarkStart w:id="4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7"/>
        </w:p>
      </w:tc>
    </w:tr>
    <w:tr w:rsidR="00FD318C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239F7" w:rsidRDefault="00833CDE" w:rsidP="00B801E9">
          <w:pPr>
            <w:jc w:val="left"/>
            <w:rPr>
              <w:sz w:val="14"/>
              <w:szCs w:val="16"/>
            </w:rPr>
          </w:pPr>
          <w:bookmarkStart w:id="48" w:name="bmkCommittee"/>
          <w:r>
            <w:rPr>
              <w:b/>
            </w:rPr>
            <w:t>Committee on Technical Barriers to Trade</w:t>
          </w:r>
          <w:bookmarkEnd w:id="4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F6A28" w:rsidRDefault="00833CDE" w:rsidP="00B801E9">
          <w:pPr>
            <w:jc w:val="right"/>
            <w:rPr>
              <w:bCs/>
              <w:szCs w:val="18"/>
            </w:rPr>
          </w:pPr>
          <w:bookmarkStart w:id="49" w:name="bmkLanguage"/>
          <w:r>
            <w:rPr>
              <w:bCs/>
              <w:szCs w:val="18"/>
            </w:rPr>
            <w:t>Original: English</w:t>
          </w:r>
          <w:bookmarkEnd w:id="49"/>
        </w:p>
      </w:tc>
    </w:tr>
  </w:tbl>
  <w:p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A566FA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35E25E4" w:tentative="1">
      <w:start w:val="1"/>
      <w:numFmt w:val="lowerLetter"/>
      <w:lvlText w:val="%2."/>
      <w:lvlJc w:val="left"/>
      <w:pPr>
        <w:ind w:left="1080" w:hanging="360"/>
      </w:pPr>
    </w:lvl>
    <w:lvl w:ilvl="2" w:tplc="0262B95E" w:tentative="1">
      <w:start w:val="1"/>
      <w:numFmt w:val="lowerRoman"/>
      <w:lvlText w:val="%3."/>
      <w:lvlJc w:val="right"/>
      <w:pPr>
        <w:ind w:left="1800" w:hanging="180"/>
      </w:pPr>
    </w:lvl>
    <w:lvl w:ilvl="3" w:tplc="ED9AF53E" w:tentative="1">
      <w:start w:val="1"/>
      <w:numFmt w:val="decimal"/>
      <w:lvlText w:val="%4."/>
      <w:lvlJc w:val="left"/>
      <w:pPr>
        <w:ind w:left="2520" w:hanging="360"/>
      </w:pPr>
    </w:lvl>
    <w:lvl w:ilvl="4" w:tplc="E4923E86" w:tentative="1">
      <w:start w:val="1"/>
      <w:numFmt w:val="lowerLetter"/>
      <w:lvlText w:val="%5."/>
      <w:lvlJc w:val="left"/>
      <w:pPr>
        <w:ind w:left="3240" w:hanging="360"/>
      </w:pPr>
    </w:lvl>
    <w:lvl w:ilvl="5" w:tplc="0AD4EA8A" w:tentative="1">
      <w:start w:val="1"/>
      <w:numFmt w:val="lowerRoman"/>
      <w:lvlText w:val="%6."/>
      <w:lvlJc w:val="right"/>
      <w:pPr>
        <w:ind w:left="3960" w:hanging="180"/>
      </w:pPr>
    </w:lvl>
    <w:lvl w:ilvl="6" w:tplc="5776BF6C" w:tentative="1">
      <w:start w:val="1"/>
      <w:numFmt w:val="decimal"/>
      <w:lvlText w:val="%7."/>
      <w:lvlJc w:val="left"/>
      <w:pPr>
        <w:ind w:left="4680" w:hanging="360"/>
      </w:pPr>
    </w:lvl>
    <w:lvl w:ilvl="7" w:tplc="087017A6" w:tentative="1">
      <w:start w:val="1"/>
      <w:numFmt w:val="lowerLetter"/>
      <w:lvlText w:val="%8."/>
      <w:lvlJc w:val="left"/>
      <w:pPr>
        <w:ind w:left="5400" w:hanging="360"/>
      </w:pPr>
    </w:lvl>
    <w:lvl w:ilvl="8" w:tplc="8C08AF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8252EB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3E047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8321A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8EE4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3C1C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B3E78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E89D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6C88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FA2BC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14764"/>
    <w:rsid w:val="003572B4"/>
    <w:rsid w:val="00381B96"/>
    <w:rsid w:val="00383F7A"/>
    <w:rsid w:val="00396AF4"/>
    <w:rsid w:val="003B2BBF"/>
    <w:rsid w:val="0041584A"/>
    <w:rsid w:val="004423A4"/>
    <w:rsid w:val="00467032"/>
    <w:rsid w:val="0046754A"/>
    <w:rsid w:val="0048173D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3CDE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FF8"/>
    <w:rsid w:val="009F1F2F"/>
    <w:rsid w:val="00A6057A"/>
    <w:rsid w:val="00A71BE1"/>
    <w:rsid w:val="00A74017"/>
    <w:rsid w:val="00A9543B"/>
    <w:rsid w:val="00AA332C"/>
    <w:rsid w:val="00AA4D5C"/>
    <w:rsid w:val="00AA646C"/>
    <w:rsid w:val="00AB0E5D"/>
    <w:rsid w:val="00AC27F8"/>
    <w:rsid w:val="00AC6C6E"/>
    <w:rsid w:val="00AD4C72"/>
    <w:rsid w:val="00AE2AEE"/>
    <w:rsid w:val="00AE4CD5"/>
    <w:rsid w:val="00AE6CC8"/>
    <w:rsid w:val="00B00276"/>
    <w:rsid w:val="00B16145"/>
    <w:rsid w:val="00B230EC"/>
    <w:rsid w:val="00B31D22"/>
    <w:rsid w:val="00B52738"/>
    <w:rsid w:val="00B55105"/>
    <w:rsid w:val="00B56EDC"/>
    <w:rsid w:val="00B57342"/>
    <w:rsid w:val="00B6007A"/>
    <w:rsid w:val="00B7102C"/>
    <w:rsid w:val="00B801E9"/>
    <w:rsid w:val="00BB0455"/>
    <w:rsid w:val="00BB1F84"/>
    <w:rsid w:val="00BE5468"/>
    <w:rsid w:val="00BF59EC"/>
    <w:rsid w:val="00C11EAC"/>
    <w:rsid w:val="00C12F46"/>
    <w:rsid w:val="00C16D5D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2359B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318C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358E0F"/>
  <w15:docId w15:val="{8B39F351-AB85-464F-AC75-080E4FB5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rsid w:val="00833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si.go.t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aitbt@tisi.mail.go.th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19/TBT/THA/19_1754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tisi.go.t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haitbt@tisi.mail.go.th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Greenleaves Navarro, Jane</dc:creator>
  <dc:description>LDIMD - DTU</dc:description>
  <cp:lastModifiedBy>Laverriere, Chantal</cp:lastModifiedBy>
  <cp:revision>5</cp:revision>
  <dcterms:created xsi:type="dcterms:W3CDTF">2019-03-26T12:53:00Z</dcterms:created>
  <dcterms:modified xsi:type="dcterms:W3CDTF">2019-03-26T13:47:00Z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G/TBT/N/THA/537</vt:lpwstr>
  </property>
</Properties>
</file>