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50A5" w14:textId="77777777" w:rsidR="009239F7" w:rsidRPr="002F6A28" w:rsidRDefault="00696F1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99DAB59" w14:textId="77777777" w:rsidR="009239F7" w:rsidRPr="002F6A28" w:rsidRDefault="00696F1A" w:rsidP="002F6A28">
      <w:pPr>
        <w:jc w:val="center"/>
      </w:pPr>
      <w:r w:rsidRPr="002F6A28">
        <w:t>The following notification is being circulated in accordance with Article 10.6</w:t>
      </w:r>
    </w:p>
    <w:p w14:paraId="60C3544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72B81" w14:paraId="12DBDAB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08493DD" w14:textId="77777777" w:rsidR="00F85C99" w:rsidRPr="002F6A28" w:rsidRDefault="00696F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92952FD" w14:textId="77777777" w:rsidR="00F85C99" w:rsidRPr="002F6A28" w:rsidRDefault="00696F1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Russian Federation</w:t>
            </w:r>
            <w:bookmarkEnd w:id="1"/>
            <w:r w:rsidRPr="002F6A28">
              <w:t xml:space="preserve"> </w:t>
            </w:r>
          </w:p>
          <w:p w14:paraId="01617540" w14:textId="77777777" w:rsidR="00F85C99" w:rsidRPr="002F6A28" w:rsidRDefault="00696F1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72B81" w14:paraId="4A1A4F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25662" w14:textId="77777777" w:rsidR="00F85C99" w:rsidRPr="002F6A28" w:rsidRDefault="00696F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8998C" w14:textId="77777777" w:rsidR="00F85C99" w:rsidRPr="002F6A28" w:rsidRDefault="00696F1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3476AF0" w14:textId="77777777" w:rsidR="0062453E" w:rsidRPr="002F6A28" w:rsidRDefault="00696F1A" w:rsidP="00155128">
            <w:pPr>
              <w:spacing w:before="120" w:after="120"/>
              <w:jc w:val="left"/>
            </w:pPr>
            <w:r w:rsidRPr="002F6A28">
              <w:t xml:space="preserve">Eurasian Economic Commission Department for Technical Regulation and Accreditation </w:t>
            </w:r>
            <w:r w:rsidRPr="002F6A28">
              <w:br/>
              <w:t xml:space="preserve">Tel: +7(495)669-24-00 </w:t>
            </w:r>
            <w:r w:rsidRPr="002F6A28">
              <w:br/>
              <w:t>Fax: +7(495)669-24-15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  <w:r w:rsidRPr="002F6A28">
              <w:t xml:space="preserve"> </w:t>
            </w:r>
            <w:bookmarkEnd w:id="5"/>
          </w:p>
          <w:p w14:paraId="05DE3792" w14:textId="77777777" w:rsidR="00F85C99" w:rsidRPr="002F6A28" w:rsidRDefault="00696F1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906849D" w14:textId="77777777" w:rsidR="0062453E" w:rsidRPr="002F6A28" w:rsidRDefault="00696F1A" w:rsidP="00AA646C">
            <w:pPr>
              <w:spacing w:after="120"/>
              <w:jc w:val="left"/>
            </w:pPr>
            <w:r w:rsidRPr="002F6A28">
              <w:t>Russian Scientific and Technical Center for Information on Standardization, Metrology and Conformity Assessment</w:t>
            </w:r>
            <w:r w:rsidRPr="002F6A28">
              <w:br/>
              <w:t xml:space="preserve">(Standartinform, National enquiry point for the TBT Agreement) </w:t>
            </w:r>
            <w:r w:rsidRPr="002F6A28">
              <w:br/>
              <w:t xml:space="preserve">Tel: +7(495) 531-26-59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info@gostinfo.ru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www.gostinfo.ru</w:t>
              </w:r>
            </w:hyperlink>
            <w:r w:rsidRPr="002F6A28">
              <w:t xml:space="preserve"> </w:t>
            </w:r>
            <w:bookmarkEnd w:id="7"/>
          </w:p>
        </w:tc>
      </w:tr>
      <w:tr w:rsidR="00672B81" w14:paraId="57A662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68075" w14:textId="77777777" w:rsidR="00F85C99" w:rsidRPr="002F6A28" w:rsidRDefault="00696F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B039C" w14:textId="77777777" w:rsidR="00F85C99" w:rsidRPr="0058336F" w:rsidRDefault="00696F1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72B81" w14:paraId="2020C2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5C35F" w14:textId="77777777" w:rsidR="00F85C99" w:rsidRPr="002F6A28" w:rsidRDefault="00696F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4CB1C" w14:textId="77777777" w:rsidR="00F85C99" w:rsidRPr="002F6A28" w:rsidRDefault="00696F1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Chemical substances and mixtures</w:t>
            </w:r>
            <w:bookmarkStart w:id="20" w:name="sps3a"/>
            <w:bookmarkEnd w:id="20"/>
          </w:p>
        </w:tc>
      </w:tr>
      <w:tr w:rsidR="00672B81" w14:paraId="14E8D3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15282" w14:textId="77777777" w:rsidR="00F85C99" w:rsidRPr="002F6A28" w:rsidRDefault="00696F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701B2" w14:textId="77777777" w:rsidR="00F85C99" w:rsidRPr="002F6A28" w:rsidRDefault="00696F1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rules on the formation and maintenance of the register of chemicals and mixtures and notification of chemicals in the Eurasian Economic Union (279 page(s), in Russian)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72B81" w14:paraId="014AB9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85915" w14:textId="77777777" w:rsidR="00F85C99" w:rsidRPr="002F6A28" w:rsidRDefault="00696F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E4F73" w14:textId="77777777" w:rsidR="00F85C99" w:rsidRPr="002F6A28" w:rsidRDefault="00696F1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rules set the procedures of formation and maintenance of the register of chemicals and mixtures in the Eurasian Economic Union.</w:t>
            </w:r>
          </w:p>
        </w:tc>
      </w:tr>
      <w:tr w:rsidR="00672B81" w14:paraId="052B3A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BC06B" w14:textId="77777777" w:rsidR="00F85C99" w:rsidRPr="002F6A28" w:rsidRDefault="00696F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1A45C" w14:textId="77777777" w:rsidR="00F85C99" w:rsidRPr="002F6A28" w:rsidRDefault="00696F1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Consumer information, labelling; Protection of human health or safety</w:t>
            </w:r>
            <w:bookmarkStart w:id="27" w:name="sps7f"/>
            <w:bookmarkEnd w:id="27"/>
          </w:p>
        </w:tc>
      </w:tr>
      <w:tr w:rsidR="00672B81" w14:paraId="772701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E017A" w14:textId="77777777" w:rsidR="00F85C99" w:rsidRPr="002F6A28" w:rsidRDefault="00696F1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B8BE6" w14:textId="77777777" w:rsidR="00072B36" w:rsidRPr="002F6A28" w:rsidRDefault="00696F1A" w:rsidP="00236463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872C394" w14:textId="77777777" w:rsidR="00236463" w:rsidRDefault="00696F1A" w:rsidP="0023646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Notification procedures, register, the draft decision of the Council of the Eurasian Economic Union on approval of the rules</w:t>
            </w:r>
          </w:p>
          <w:p w14:paraId="65C5FA7A" w14:textId="77777777" w:rsidR="0062453E" w:rsidRPr="002F6A28" w:rsidRDefault="00287AF3" w:rsidP="00236463">
            <w:pPr>
              <w:spacing w:before="120" w:after="120"/>
              <w:ind w:left="720"/>
              <w:rPr>
                <w:bCs/>
              </w:rPr>
            </w:pPr>
            <w:hyperlink r:id="rId11" w:history="1">
              <w:r w:rsidR="00696F1A" w:rsidRPr="00571B46">
                <w:rPr>
                  <w:rStyle w:val="Hyperlink"/>
                  <w:bCs/>
                </w:rPr>
                <w:t>https://docs.eaeunion.org/ria/ru-ru/0104473/ria_16022021</w:t>
              </w:r>
            </w:hyperlink>
          </w:p>
        </w:tc>
      </w:tr>
      <w:tr w:rsidR="00672B81" w14:paraId="2525C2D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282C6" w14:textId="77777777" w:rsidR="00EE3A11" w:rsidRPr="002F6A28" w:rsidRDefault="00696F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FA218" w14:textId="77777777" w:rsidR="00EE3A11" w:rsidRPr="002F6A28" w:rsidRDefault="00696F1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15A6D74" w14:textId="77777777" w:rsidR="00EE3A11" w:rsidRPr="002F6A28" w:rsidRDefault="00696F1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672B81" w14:paraId="4F0BAB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0D227" w14:textId="77777777" w:rsidR="00F85C99" w:rsidRPr="002F6A28" w:rsidRDefault="00696F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AFB67" w14:textId="77777777" w:rsidR="00F85C99" w:rsidRPr="002F6A28" w:rsidRDefault="00696F1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 April 2021</w:t>
            </w:r>
            <w:bookmarkStart w:id="36" w:name="sps12a"/>
            <w:bookmarkEnd w:id="36"/>
          </w:p>
        </w:tc>
      </w:tr>
      <w:tr w:rsidR="00672B81" w14:paraId="2C3CF1F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DBC9579" w14:textId="77777777" w:rsidR="00F85C99" w:rsidRPr="002F6A28" w:rsidRDefault="00696F1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6BEF5C3" w14:textId="77777777" w:rsidR="00F85C99" w:rsidRPr="002F6A28" w:rsidRDefault="00696F1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6E6F329" w14:textId="77777777" w:rsidR="0062453E" w:rsidRPr="002F6A28" w:rsidRDefault="00696F1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Eurasian Economic Commission Department for Technical Regulation and Accreditation </w:t>
            </w:r>
            <w:r w:rsidRPr="002F6A28">
              <w:br/>
              <w:t xml:space="preserve">Tel: +7(495)669-24-00 </w:t>
            </w:r>
            <w:r w:rsidRPr="002F6A28">
              <w:br/>
              <w:t>Fax: +7(495)669-24-15</w:t>
            </w:r>
            <w:r w:rsidRPr="002F6A28">
              <w:br/>
              <w:t xml:space="preserve">E-mail: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  <w:r w:rsidRPr="002F6A28">
              <w:br/>
              <w:t xml:space="preserve">Website: </w:t>
            </w:r>
            <w:hyperlink r:id="rId13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  <w:r w:rsidRPr="002F6A28">
              <w:t xml:space="preserve"> </w:t>
            </w:r>
          </w:p>
          <w:p w14:paraId="550B4402" w14:textId="77777777" w:rsidR="0062453E" w:rsidRPr="002F6A28" w:rsidRDefault="00287AF3" w:rsidP="00B16145">
            <w:pPr>
              <w:keepNext/>
              <w:keepLines/>
              <w:spacing w:before="120" w:after="120"/>
            </w:pPr>
            <w:hyperlink r:id="rId14" w:history="1">
              <w:r w:rsidR="00696F1A" w:rsidRPr="002F6A28">
                <w:rPr>
                  <w:color w:val="0000FF"/>
                  <w:u w:val="single"/>
                </w:rPr>
                <w:t>https://docs.eaeunion.org/ria/ru-ru/0104473/ria_16022021</w:t>
              </w:r>
            </w:hyperlink>
            <w:r w:rsidR="00696F1A" w:rsidRPr="002F6A28">
              <w:t xml:space="preserve"> </w:t>
            </w:r>
            <w:bookmarkEnd w:id="40"/>
          </w:p>
        </w:tc>
      </w:tr>
    </w:tbl>
    <w:p w14:paraId="391A9600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609A" w14:textId="77777777" w:rsidR="00635F17" w:rsidRDefault="00696F1A">
      <w:r>
        <w:separator/>
      </w:r>
    </w:p>
  </w:endnote>
  <w:endnote w:type="continuationSeparator" w:id="0">
    <w:p w14:paraId="5714DEB0" w14:textId="77777777" w:rsidR="00635F17" w:rsidRDefault="0069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0E76" w14:textId="77777777" w:rsidR="009239F7" w:rsidRPr="002F6A28" w:rsidRDefault="00696F1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5657" w14:textId="77777777" w:rsidR="009239F7" w:rsidRPr="002F6A28" w:rsidRDefault="00696F1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C848" w14:textId="77777777" w:rsidR="00EE3A11" w:rsidRPr="002F6A28" w:rsidRDefault="00696F1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439C" w14:textId="77777777" w:rsidR="00635F17" w:rsidRDefault="00696F1A">
      <w:r>
        <w:separator/>
      </w:r>
    </w:p>
  </w:footnote>
  <w:footnote w:type="continuationSeparator" w:id="0">
    <w:p w14:paraId="00999135" w14:textId="77777777" w:rsidR="00635F17" w:rsidRDefault="0069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9449" w14:textId="77777777" w:rsidR="009239F7" w:rsidRPr="002F6A28" w:rsidRDefault="00696F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845906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C0CD9A" w14:textId="77777777" w:rsidR="009239F7" w:rsidRPr="002F6A28" w:rsidRDefault="00696F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9C6A2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42C5" w14:textId="77777777" w:rsidR="009239F7" w:rsidRPr="002F6A28" w:rsidRDefault="00696F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G/TBT/N/RUS/110</w:t>
    </w:r>
    <w:bookmarkEnd w:id="41"/>
  </w:p>
  <w:p w14:paraId="4B9D75A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B76BB2" w14:textId="77777777" w:rsidR="009239F7" w:rsidRPr="002F6A28" w:rsidRDefault="00696F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1AB785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2B81" w14:paraId="4D2A57E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B6DCA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3CA24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72B81" w14:paraId="4C2EC2A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7C3301" w14:textId="77777777" w:rsidR="00ED54E0" w:rsidRPr="009239F7" w:rsidRDefault="00696F1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276ADB" wp14:editId="1B3B5C1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05964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BD9CA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72B81" w14:paraId="1938F1C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EE456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E8635F" w14:textId="77777777" w:rsidR="009239F7" w:rsidRPr="002F6A28" w:rsidRDefault="00696F1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G/TBT/N/RUS/110</w:t>
          </w:r>
          <w:bookmarkEnd w:id="43"/>
        </w:p>
      </w:tc>
    </w:tr>
    <w:tr w:rsidR="00672B81" w14:paraId="623383B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A036F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942C5" w14:textId="5A34FE14" w:rsidR="00ED54E0" w:rsidRPr="009239F7" w:rsidRDefault="00696F1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19 February 2021</w:t>
          </w:r>
        </w:p>
      </w:tc>
    </w:tr>
    <w:tr w:rsidR="00672B81" w14:paraId="372C3D5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51D362" w14:textId="0E3F5C30" w:rsidR="00ED54E0" w:rsidRPr="009239F7" w:rsidRDefault="00696F1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287AF3">
            <w:rPr>
              <w:color w:val="FF0000"/>
              <w:szCs w:val="16"/>
            </w:rPr>
            <w:t>1412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273BC0" w14:textId="77777777" w:rsidR="00ED54E0" w:rsidRPr="009239F7" w:rsidRDefault="00696F1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72B81" w14:paraId="682E64F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3A37E7" w14:textId="77777777" w:rsidR="00ED54E0" w:rsidRPr="009239F7" w:rsidRDefault="00696F1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7F7814" w14:textId="77777777" w:rsidR="00ED54E0" w:rsidRPr="002F6A28" w:rsidRDefault="00696F1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6E43F6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728A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185B70" w:tentative="1">
      <w:start w:val="1"/>
      <w:numFmt w:val="lowerLetter"/>
      <w:lvlText w:val="%2."/>
      <w:lvlJc w:val="left"/>
      <w:pPr>
        <w:ind w:left="1080" w:hanging="360"/>
      </w:pPr>
    </w:lvl>
    <w:lvl w:ilvl="2" w:tplc="46743C80" w:tentative="1">
      <w:start w:val="1"/>
      <w:numFmt w:val="lowerRoman"/>
      <w:lvlText w:val="%3."/>
      <w:lvlJc w:val="right"/>
      <w:pPr>
        <w:ind w:left="1800" w:hanging="180"/>
      </w:pPr>
    </w:lvl>
    <w:lvl w:ilvl="3" w:tplc="6A00FDD6" w:tentative="1">
      <w:start w:val="1"/>
      <w:numFmt w:val="decimal"/>
      <w:lvlText w:val="%4."/>
      <w:lvlJc w:val="left"/>
      <w:pPr>
        <w:ind w:left="2520" w:hanging="360"/>
      </w:pPr>
    </w:lvl>
    <w:lvl w:ilvl="4" w:tplc="C318161A" w:tentative="1">
      <w:start w:val="1"/>
      <w:numFmt w:val="lowerLetter"/>
      <w:lvlText w:val="%5."/>
      <w:lvlJc w:val="left"/>
      <w:pPr>
        <w:ind w:left="3240" w:hanging="360"/>
      </w:pPr>
    </w:lvl>
    <w:lvl w:ilvl="5" w:tplc="62CEF896" w:tentative="1">
      <w:start w:val="1"/>
      <w:numFmt w:val="lowerRoman"/>
      <w:lvlText w:val="%6."/>
      <w:lvlJc w:val="right"/>
      <w:pPr>
        <w:ind w:left="3960" w:hanging="180"/>
      </w:pPr>
    </w:lvl>
    <w:lvl w:ilvl="6" w:tplc="5C1C27A0" w:tentative="1">
      <w:start w:val="1"/>
      <w:numFmt w:val="decimal"/>
      <w:lvlText w:val="%7."/>
      <w:lvlJc w:val="left"/>
      <w:pPr>
        <w:ind w:left="4680" w:hanging="360"/>
      </w:pPr>
    </w:lvl>
    <w:lvl w:ilvl="7" w:tplc="9DE84DB4" w:tentative="1">
      <w:start w:val="1"/>
      <w:numFmt w:val="lowerLetter"/>
      <w:lvlText w:val="%8."/>
      <w:lvlJc w:val="left"/>
      <w:pPr>
        <w:ind w:left="5400" w:hanging="360"/>
      </w:pPr>
    </w:lvl>
    <w:lvl w:ilvl="8" w:tplc="5DE0F1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6880C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26B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346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CA8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1053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DE7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6ED6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7CB8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DAB8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36463"/>
    <w:rsid w:val="00267723"/>
    <w:rsid w:val="00270637"/>
    <w:rsid w:val="0027067B"/>
    <w:rsid w:val="00287AF3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1B46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2453E"/>
    <w:rsid w:val="00635F17"/>
    <w:rsid w:val="00643C1F"/>
    <w:rsid w:val="00655881"/>
    <w:rsid w:val="0066043C"/>
    <w:rsid w:val="006607BC"/>
    <w:rsid w:val="00672511"/>
    <w:rsid w:val="00672B81"/>
    <w:rsid w:val="00674CCD"/>
    <w:rsid w:val="00682D50"/>
    <w:rsid w:val="006845EE"/>
    <w:rsid w:val="0069259F"/>
    <w:rsid w:val="00696F1A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6D1C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F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23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13" Type="http://schemas.openxmlformats.org/officeDocument/2006/relationships/hyperlink" Target="http://www.eurasiancommission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ept_techregulation@eurasiancommission.org" TargetMode="External"/><Relationship Id="rId12" Type="http://schemas.openxmlformats.org/officeDocument/2006/relationships/hyperlink" Target="mailto:dept_techregulation@eurasiancommission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eaeunion.org/ria/ru-ru/0104473/ria_160220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tinfo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fo@gostinfo.ru" TargetMode="External"/><Relationship Id="rId14" Type="http://schemas.openxmlformats.org/officeDocument/2006/relationships/hyperlink" Target="https://docs.eaeunion.org/ria/ru-ru/0104473/ria_160220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2021-02-19T09:01:00Z</dcterms:created>
  <dcterms:modified xsi:type="dcterms:W3CDTF">2021-02-19T09:15:00Z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32a09e11-8ae7-4f2a-b7e5-372e2835ef2d</vt:lpwstr>
  </property>
  <property fmtid="{D5CDD505-2E9C-101B-9397-08002B2CF9AE}" pid="4" name="WTOCLASSIFICATION">
    <vt:lpwstr>WTO OFFICIAL</vt:lpwstr>
  </property>
</Properties>
</file>