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B12" w14:textId="77777777" w:rsidR="009239F7" w:rsidRPr="002F6A28" w:rsidRDefault="00E765B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86E3A5D" w14:textId="77777777" w:rsidR="009239F7" w:rsidRPr="002F6A28" w:rsidRDefault="00E765B3" w:rsidP="002F6A28">
      <w:pPr>
        <w:jc w:val="center"/>
      </w:pPr>
      <w:r w:rsidRPr="002F6A28">
        <w:t>The following notification is being circulated in accordance with Article 10.6</w:t>
      </w:r>
    </w:p>
    <w:p w14:paraId="67C1E01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92DDE" w14:paraId="26A8767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3BFD30A" w14:textId="77777777" w:rsidR="00F85C99" w:rsidRPr="002F6A28" w:rsidRDefault="00E765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0FEEF0" w14:textId="77777777" w:rsidR="00F85C99" w:rsidRPr="002F6A28" w:rsidRDefault="00E765B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14:paraId="1B4E51E5" w14:textId="77777777" w:rsidR="00F85C99" w:rsidRPr="002F6A28" w:rsidRDefault="00E765B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92DDE" w14:paraId="65A81B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57685" w14:textId="77777777" w:rsidR="00F85C99" w:rsidRPr="002F6A28" w:rsidRDefault="00E765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08423" w14:textId="77777777" w:rsidR="00F85C99" w:rsidRPr="002F6A28" w:rsidRDefault="00E765B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74A18EB" w14:textId="77777777" w:rsidR="006352C7" w:rsidRPr="002F6A28" w:rsidRDefault="00E765B3" w:rsidP="00155128">
            <w:pPr>
              <w:spacing w:before="120" w:after="120"/>
              <w:jc w:val="left"/>
            </w:pPr>
            <w:r w:rsidRPr="002F6A28">
              <w:t>FOOD AND DRUG ADMINISTRATION PHILIPPINES</w:t>
            </w:r>
            <w:r w:rsidRPr="002F6A28">
              <w:br/>
              <w:t xml:space="preserve">DEPARTMENT OF HEALTH </w:t>
            </w:r>
            <w:bookmarkEnd w:id="5"/>
          </w:p>
          <w:p w14:paraId="30AABFEC" w14:textId="77777777" w:rsidR="00F85C99" w:rsidRPr="002F6A28" w:rsidRDefault="00E765B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1917E54" w14:textId="77777777" w:rsidR="006352C7" w:rsidRPr="002F6A28" w:rsidRDefault="00E765B3" w:rsidP="00AA646C">
            <w:pPr>
              <w:spacing w:after="120"/>
              <w:jc w:val="left"/>
            </w:pPr>
            <w:r w:rsidRPr="002F6A28">
              <w:t xml:space="preserve">Engr. Maria Cecilia C. </w:t>
            </w:r>
            <w:proofErr w:type="spellStart"/>
            <w:r w:rsidRPr="002F6A28">
              <w:t>Matienzo</w:t>
            </w:r>
            <w:proofErr w:type="spellEnd"/>
            <w:r w:rsidRPr="002F6A28">
              <w:br/>
              <w:t>Director IV</w:t>
            </w:r>
            <w:r w:rsidRPr="002F6A28">
              <w:br/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Device Regulation, Radiation Health and Research (CDRRHR)</w:t>
            </w:r>
            <w:r w:rsidRPr="002F6A28">
              <w:br/>
              <w:t>Civic Drive Filinvest Corporate City</w:t>
            </w:r>
            <w:r w:rsidRPr="002F6A28">
              <w:br/>
              <w:t>Alabang, Muntinlupa City</w:t>
            </w:r>
            <w:r w:rsidRPr="002F6A28">
              <w:br/>
              <w:t>Tel. no: +632 8 857-1900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mccmatienzo@fda.gov.ph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cdrrhr@fda.gov.ph</w:t>
              </w:r>
            </w:hyperlink>
            <w:r w:rsidRPr="002F6A28">
              <w:t xml:space="preserve">; </w:t>
            </w:r>
            <w:hyperlink r:id="rId9" w:history="1">
              <w:r w:rsidRPr="002F6A28">
                <w:rPr>
                  <w:color w:val="0000FF"/>
                  <w:u w:val="single"/>
                </w:rPr>
                <w:t>cdrrhr-prsdd@fda.gov.ph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www.fda.gov.ph</w:t>
              </w:r>
            </w:hyperlink>
            <w:bookmarkEnd w:id="7"/>
          </w:p>
        </w:tc>
      </w:tr>
      <w:tr w:rsidR="00B92DDE" w14:paraId="3E677B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08082" w14:textId="77777777" w:rsidR="00F85C99" w:rsidRPr="002F6A28" w:rsidRDefault="00E765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EFC08" w14:textId="77777777" w:rsidR="00F85C99" w:rsidRPr="0058336F" w:rsidRDefault="00E765B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92DDE" w14:paraId="574BE0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05B3D" w14:textId="77777777" w:rsidR="00F85C99" w:rsidRPr="002F6A28" w:rsidRDefault="00E765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90042" w14:textId="77777777" w:rsidR="00F85C99" w:rsidRPr="002F6A28" w:rsidRDefault="00E765B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devices</w:t>
            </w:r>
            <w:bookmarkStart w:id="20" w:name="sps3a"/>
            <w:bookmarkEnd w:id="20"/>
          </w:p>
        </w:tc>
      </w:tr>
      <w:tr w:rsidR="00B92DDE" w14:paraId="73D3E6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67077" w14:textId="77777777" w:rsidR="00F85C99" w:rsidRPr="002F6A28" w:rsidRDefault="00E765B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53A21" w14:textId="77777777" w:rsidR="00F85C99" w:rsidRPr="002F6A28" w:rsidRDefault="00E765B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FDA Circular No. 2021-001 Hierarchy of Product Standards for Medical Devices to be Complied with for Notification/Registration Purposes (2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92DDE" w14:paraId="76B869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08FE9" w14:textId="77777777" w:rsidR="00F85C99" w:rsidRPr="002F6A28" w:rsidRDefault="00E765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DB2FC" w14:textId="77777777" w:rsidR="00F85C99" w:rsidRPr="002F6A28" w:rsidRDefault="00E765B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Administrative Order was formulated to guide the local manufacturer, importer and/or distributor of medical devices regarding the product standards to conform prior to notification/registration with the Philippines' Food and Drug Administration as part of the implementation of Administrative Order No. 2018-0002: Guidelines Governing the Issuance of an Authorization for a Medical Device Based on the ASEAN Harmonized Technical Requirements.</w:t>
            </w:r>
          </w:p>
        </w:tc>
      </w:tr>
      <w:tr w:rsidR="00B92DDE" w14:paraId="76CA64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357CC" w14:textId="77777777" w:rsidR="00F85C99" w:rsidRPr="002F6A28" w:rsidRDefault="00E765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BE4EE" w14:textId="77777777" w:rsidR="00F85C99" w:rsidRPr="002F6A28" w:rsidRDefault="00E765B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92DDE" w14:paraId="356286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49E4E" w14:textId="77777777" w:rsidR="00F85C99" w:rsidRPr="002F6A28" w:rsidRDefault="00E765B3" w:rsidP="002D05F6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9FA5D" w14:textId="77777777" w:rsidR="00072B36" w:rsidRPr="002F6A28" w:rsidRDefault="00E765B3" w:rsidP="002D05F6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C6AE6E" w14:textId="77777777" w:rsidR="006352C7" w:rsidRPr="002F6A28" w:rsidRDefault="00E765B3" w:rsidP="002D05F6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Republic Act No. 9711 or Food and Drug Administration Act of 2009</w:t>
            </w:r>
          </w:p>
          <w:p w14:paraId="211E9A7D" w14:textId="77777777" w:rsidR="006352C7" w:rsidRPr="002F6A28" w:rsidRDefault="00E765B3" w:rsidP="002D05F6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Implementing Rules and Regulation of Republic Act No. 9711</w:t>
            </w:r>
          </w:p>
          <w:p w14:paraId="2E196FCC" w14:textId="77777777" w:rsidR="006352C7" w:rsidRPr="002F6A28" w:rsidRDefault="00E765B3" w:rsidP="002D05F6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Administrative Order No. 2018-002: Guidelines Governing the Issuance of an Authorization for a Medical Device based on the ASEAN Harmonized Technical Requirements</w:t>
            </w:r>
          </w:p>
          <w:p w14:paraId="20E2BC67" w14:textId="77777777" w:rsidR="006352C7" w:rsidRPr="002F6A28" w:rsidRDefault="00E765B3" w:rsidP="002D05F6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FDA Circular No. 2021-001: Initial Implementation of Administrative Order No.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2018-0002 "Guidelines Governing the Issuance of an Authorization for a Medical Device Based on the ASEAN Harmonized Technical Requirements"</w:t>
            </w:r>
          </w:p>
        </w:tc>
      </w:tr>
      <w:tr w:rsidR="00B92DDE" w14:paraId="32164D3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8D063" w14:textId="77777777" w:rsidR="00EE3A11" w:rsidRPr="002F6A28" w:rsidRDefault="00E765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F2773" w14:textId="77777777" w:rsidR="00EE3A11" w:rsidRPr="002F6A28" w:rsidRDefault="00E765B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Not applicable </w:t>
            </w:r>
            <w:bookmarkEnd w:id="31"/>
          </w:p>
          <w:p w14:paraId="72C95D89" w14:textId="77777777" w:rsidR="00EE3A11" w:rsidRPr="002F6A28" w:rsidRDefault="00E765B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B92DDE" w14:paraId="727918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D78AC" w14:textId="77777777" w:rsidR="00F85C99" w:rsidRPr="002F6A28" w:rsidRDefault="00E765B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B26B7" w14:textId="77777777" w:rsidR="00F85C99" w:rsidRPr="002F6A28" w:rsidRDefault="00E765B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 </w:t>
            </w:r>
            <w:bookmarkStart w:id="36" w:name="sps12a"/>
            <w:bookmarkEnd w:id="36"/>
          </w:p>
        </w:tc>
      </w:tr>
      <w:tr w:rsidR="00B92DDE" w14:paraId="1F7A348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AA2D8BD" w14:textId="77777777" w:rsidR="00F85C99" w:rsidRPr="002F6A28" w:rsidRDefault="00E765B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618DB9" w14:textId="77777777" w:rsidR="00F85C99" w:rsidRPr="002F6A28" w:rsidRDefault="00E765B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86BB7C" w14:textId="77777777" w:rsidR="002D05F6" w:rsidRDefault="00E765B3" w:rsidP="00B16145">
            <w:pPr>
              <w:keepNext/>
              <w:keepLines/>
              <w:spacing w:before="120"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 xml:space="preserve">Makati City, Philippines 1200 </w:t>
            </w:r>
            <w:r w:rsidRPr="002F6A28">
              <w:br/>
              <w:t>(632) 7751 4700; (632) 7751 4706</w:t>
            </w:r>
            <w:r w:rsidRPr="002F6A28">
              <w:br/>
              <w:t xml:space="preserve">Email: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t xml:space="preserve"> </w:t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</w:p>
          <w:p w14:paraId="64D3769C" w14:textId="77777777" w:rsidR="006352C7" w:rsidRPr="002F6A28" w:rsidRDefault="00A27A60" w:rsidP="00B16145">
            <w:pPr>
              <w:keepNext/>
              <w:keepLines/>
              <w:spacing w:before="120" w:after="120"/>
            </w:pPr>
            <w:hyperlink r:id="rId13" w:history="1">
              <w:r w:rsidR="00E765B3" w:rsidRPr="002F6A28">
                <w:rPr>
                  <w:color w:val="0000FF"/>
                  <w:u w:val="single"/>
                </w:rPr>
                <w:t>https://www.fda.gov.ph/wp-content/uploads/2021/01/FDA-Circular-No.2021-001.pdf</w:t>
              </w:r>
            </w:hyperlink>
            <w:r w:rsidR="00E765B3" w:rsidRPr="002F6A28">
              <w:t xml:space="preserve"> </w:t>
            </w:r>
            <w:bookmarkEnd w:id="40"/>
          </w:p>
        </w:tc>
      </w:tr>
    </w:tbl>
    <w:p w14:paraId="2E3E3AE5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A531" w14:textId="77777777" w:rsidR="00CF6265" w:rsidRDefault="00E765B3">
      <w:r>
        <w:separator/>
      </w:r>
    </w:p>
  </w:endnote>
  <w:endnote w:type="continuationSeparator" w:id="0">
    <w:p w14:paraId="6D94DA34" w14:textId="77777777" w:rsidR="00CF6265" w:rsidRDefault="00E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361E" w14:textId="77777777" w:rsidR="009239F7" w:rsidRPr="002F6A28" w:rsidRDefault="00E765B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4C5D" w14:textId="77777777" w:rsidR="009239F7" w:rsidRPr="002F6A28" w:rsidRDefault="00E765B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4222" w14:textId="77777777" w:rsidR="00EE3A11" w:rsidRPr="002F6A28" w:rsidRDefault="00E765B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35D7" w14:textId="77777777" w:rsidR="00CF6265" w:rsidRDefault="00E765B3">
      <w:r>
        <w:separator/>
      </w:r>
    </w:p>
  </w:footnote>
  <w:footnote w:type="continuationSeparator" w:id="0">
    <w:p w14:paraId="3BB9AAA7" w14:textId="77777777" w:rsidR="00CF6265" w:rsidRDefault="00E7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40B7" w14:textId="77777777" w:rsidR="009239F7" w:rsidRPr="002F6A28" w:rsidRDefault="00E765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FE461F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8FBF2F" w14:textId="77777777" w:rsidR="009239F7" w:rsidRPr="002F6A28" w:rsidRDefault="00E765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A6689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1DEE" w14:textId="77777777" w:rsidR="009239F7" w:rsidRPr="002F6A28" w:rsidRDefault="00E765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G/TBT/N/PHL/252</w:t>
    </w:r>
    <w:bookmarkEnd w:id="41"/>
  </w:p>
  <w:p w14:paraId="6D720B9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32F79E" w14:textId="77777777" w:rsidR="009239F7" w:rsidRPr="002F6A28" w:rsidRDefault="00E765B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5253E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2DDE" w14:paraId="7CAC3D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0E36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E05F1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92DDE" w14:paraId="5388AD1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BBBE80" w14:textId="77777777" w:rsidR="00ED54E0" w:rsidRPr="009239F7" w:rsidRDefault="00E765B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06A8EB" wp14:editId="478AFF6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5369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8835E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92DDE" w14:paraId="259587C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64505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6A5040" w14:textId="77777777" w:rsidR="009239F7" w:rsidRPr="002F6A28" w:rsidRDefault="00E765B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G/TBT/N/PHL/252</w:t>
          </w:r>
          <w:bookmarkEnd w:id="43"/>
        </w:p>
      </w:tc>
    </w:tr>
    <w:tr w:rsidR="00B92DDE" w14:paraId="7E6F9B3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5F58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8B333" w14:textId="21107041" w:rsidR="00ED54E0" w:rsidRPr="009239F7" w:rsidRDefault="00E765B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May 2021</w:t>
          </w:r>
        </w:p>
      </w:tc>
    </w:tr>
    <w:tr w:rsidR="00B92DDE" w14:paraId="0617816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A3930F" w14:textId="5C9B63D0" w:rsidR="00ED54E0" w:rsidRPr="009239F7" w:rsidRDefault="00E765B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27A60">
            <w:rPr>
              <w:color w:val="FF0000"/>
              <w:szCs w:val="16"/>
            </w:rPr>
            <w:t>3909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4D71E8" w14:textId="77777777" w:rsidR="00ED54E0" w:rsidRPr="009239F7" w:rsidRDefault="00E765B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92DDE" w14:paraId="43D64A4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CB7DF8" w14:textId="77777777" w:rsidR="00ED54E0" w:rsidRPr="009239F7" w:rsidRDefault="00E765B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AC661D" w14:textId="77777777" w:rsidR="00ED54E0" w:rsidRPr="002F6A28" w:rsidRDefault="00E765B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EEBE38E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82E9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3266EA" w:tentative="1">
      <w:start w:val="1"/>
      <w:numFmt w:val="lowerLetter"/>
      <w:lvlText w:val="%2."/>
      <w:lvlJc w:val="left"/>
      <w:pPr>
        <w:ind w:left="1080" w:hanging="360"/>
      </w:pPr>
    </w:lvl>
    <w:lvl w:ilvl="2" w:tplc="86A88616" w:tentative="1">
      <w:start w:val="1"/>
      <w:numFmt w:val="lowerRoman"/>
      <w:lvlText w:val="%3."/>
      <w:lvlJc w:val="right"/>
      <w:pPr>
        <w:ind w:left="1800" w:hanging="180"/>
      </w:pPr>
    </w:lvl>
    <w:lvl w:ilvl="3" w:tplc="8410E24E" w:tentative="1">
      <w:start w:val="1"/>
      <w:numFmt w:val="decimal"/>
      <w:lvlText w:val="%4."/>
      <w:lvlJc w:val="left"/>
      <w:pPr>
        <w:ind w:left="2520" w:hanging="360"/>
      </w:pPr>
    </w:lvl>
    <w:lvl w:ilvl="4" w:tplc="4476E49A" w:tentative="1">
      <w:start w:val="1"/>
      <w:numFmt w:val="lowerLetter"/>
      <w:lvlText w:val="%5."/>
      <w:lvlJc w:val="left"/>
      <w:pPr>
        <w:ind w:left="3240" w:hanging="360"/>
      </w:pPr>
    </w:lvl>
    <w:lvl w:ilvl="5" w:tplc="9496A184" w:tentative="1">
      <w:start w:val="1"/>
      <w:numFmt w:val="lowerRoman"/>
      <w:lvlText w:val="%6."/>
      <w:lvlJc w:val="right"/>
      <w:pPr>
        <w:ind w:left="3960" w:hanging="180"/>
      </w:pPr>
    </w:lvl>
    <w:lvl w:ilvl="6" w:tplc="B0D20C1C" w:tentative="1">
      <w:start w:val="1"/>
      <w:numFmt w:val="decimal"/>
      <w:lvlText w:val="%7."/>
      <w:lvlJc w:val="left"/>
      <w:pPr>
        <w:ind w:left="4680" w:hanging="360"/>
      </w:pPr>
    </w:lvl>
    <w:lvl w:ilvl="7" w:tplc="0EAE7728" w:tentative="1">
      <w:start w:val="1"/>
      <w:numFmt w:val="lowerLetter"/>
      <w:lvlText w:val="%8."/>
      <w:lvlJc w:val="left"/>
      <w:pPr>
        <w:ind w:left="5400" w:hanging="360"/>
      </w:pPr>
    </w:lvl>
    <w:lvl w:ilvl="8" w:tplc="9B849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2A63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CE0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7AF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0CE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3A9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060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3E4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2EED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DEE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05F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35C7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2C7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7A6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2DDE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6265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5B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3E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rrhr@fda.gov.ph" TargetMode="External"/><Relationship Id="rId13" Type="http://schemas.openxmlformats.org/officeDocument/2006/relationships/hyperlink" Target="https://www.fda.gov.ph/wp-content/uploads/2021/01/FDA-Circular-No.2021-00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ccmatienzo@fda.gov.ph" TargetMode="External"/><Relationship Id="rId12" Type="http://schemas.openxmlformats.org/officeDocument/2006/relationships/hyperlink" Target="http://www.bps.dti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s@dti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da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drrhr-prsdd@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2599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2021-05-07T12:27:00Z</dcterms:created>
  <dcterms:modified xsi:type="dcterms:W3CDTF">2021-05-07T13:15:00Z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78b17140-e6fe-4b28-9b98-f9c92d13d41a</vt:lpwstr>
  </property>
  <property fmtid="{D5CDD505-2E9C-101B-9397-08002B2CF9AE}" pid="4" name="WTOCLASSIFICATION">
    <vt:lpwstr>WTO OFFICIAL</vt:lpwstr>
  </property>
</Properties>
</file>