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D0909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5D090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54FA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Philippines</w:t>
            </w:r>
            <w:bookmarkEnd w:id="2"/>
            <w:r w:rsidRPr="002F6A28">
              <w:t xml:space="preserve"> </w:t>
            </w:r>
          </w:p>
          <w:p w:rsidR="00F85C99" w:rsidRPr="002F6A28" w:rsidRDefault="005D0909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Department of Health – Food and Drug Administration –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For Food Regulation and Research </w:t>
            </w:r>
            <w:bookmarkEnd w:id="6"/>
          </w:p>
          <w:p w:rsidR="00F85C99" w:rsidRPr="002F6A28" w:rsidRDefault="005D0909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75EAB" w:rsidRPr="002F6A28" w:rsidRDefault="005D0909" w:rsidP="00AA646C">
            <w:pPr>
              <w:spacing w:after="120"/>
              <w:jc w:val="left"/>
            </w:pPr>
            <w:r w:rsidRPr="002F6A28">
              <w:t xml:space="preserve">MS. MA. THERESA C. </w:t>
            </w:r>
            <w:proofErr w:type="spellStart"/>
            <w:r w:rsidRPr="002F6A28">
              <w:t>CERBOLLES</w:t>
            </w:r>
            <w:proofErr w:type="spellEnd"/>
            <w:r w:rsidRPr="002F6A28">
              <w:t xml:space="preserve"> </w:t>
            </w:r>
            <w:r w:rsidRPr="002F6A28">
              <w:br/>
            </w:r>
            <w:proofErr w:type="spellStart"/>
            <w:r w:rsidRPr="002F6A28">
              <w:t>FDRO</w:t>
            </w:r>
            <w:proofErr w:type="spellEnd"/>
            <w:r w:rsidRPr="002F6A28">
              <w:t xml:space="preserve"> IV</w:t>
            </w:r>
            <w:r w:rsidRPr="002F6A28">
              <w:br/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for Food Regulation and Research </w:t>
            </w:r>
            <w:r w:rsidRPr="002F6A28">
              <w:br/>
              <w:t>FOOD AND DRUG ADMINISTRATION</w:t>
            </w:r>
            <w:r w:rsidRPr="002F6A28">
              <w:br/>
              <w:t>Department of Health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mtccerbolles@fda.gov.ph</w:t>
              </w:r>
            </w:hyperlink>
            <w:r w:rsidRPr="002F6A28">
              <w:t xml:space="preserve">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tessafda@yahoo.com</w:t>
              </w:r>
            </w:hyperlink>
            <w:bookmarkEnd w:id="8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D0909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Food products in general (ICS 67.040)</w:t>
            </w:r>
            <w:bookmarkStart w:id="21" w:name="sps3a"/>
            <w:bookmarkEnd w:id="21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FDA Circular No._____: "Guidelines on the Registration of Food Products, including raw materials and food ingredients, containing </w:t>
            </w:r>
            <w:proofErr w:type="spellStart"/>
            <w:r w:rsidR="00EE3A11" w:rsidRPr="00C379C8">
              <w:t>Aluminum</w:t>
            </w:r>
            <w:proofErr w:type="spellEnd"/>
            <w:r w:rsidR="00EE3A11" w:rsidRPr="00C379C8">
              <w:t xml:space="preserve"> Lake </w:t>
            </w:r>
            <w:proofErr w:type="spellStart"/>
            <w:r w:rsidR="00EE3A11" w:rsidRPr="00C379C8">
              <w:t>Colors</w:t>
            </w:r>
            <w:proofErr w:type="spellEnd"/>
            <w:r w:rsidR="00EE3A11" w:rsidRPr="00C379C8">
              <w:t>, and as such food additives for further processing" (16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guidelines set out the conditions to be met for the use of </w:t>
            </w:r>
            <w:proofErr w:type="spellStart"/>
            <w:r w:rsidR="00FE448B" w:rsidRPr="00C379C8">
              <w:t>Aluminum</w:t>
            </w:r>
            <w:proofErr w:type="spellEnd"/>
            <w:r w:rsidR="00FE448B" w:rsidRPr="00C379C8">
              <w:t xml:space="preserve"> Lake </w:t>
            </w:r>
            <w:proofErr w:type="spellStart"/>
            <w:r w:rsidR="00FE448B" w:rsidRPr="00C379C8">
              <w:t>Colors</w:t>
            </w:r>
            <w:proofErr w:type="spellEnd"/>
            <w:r w:rsidR="00FE448B" w:rsidRPr="00C379C8">
              <w:t xml:space="preserve"> in processed food products, including raw materials, food ingredients upon filing of initial Certificate of Product Registration (CPR) application or for renewal. It also lists down requirements to be submitted by </w:t>
            </w:r>
            <w:proofErr w:type="spellStart"/>
            <w:r w:rsidR="00FE448B" w:rsidRPr="00C379C8">
              <w:t>by</w:t>
            </w:r>
            <w:proofErr w:type="spellEnd"/>
            <w:r w:rsidR="00FE448B" w:rsidRPr="00C379C8">
              <w:t xml:space="preserve"> applicants upon renewal or </w:t>
            </w:r>
            <w:proofErr w:type="gramStart"/>
            <w:r w:rsidR="00FE448B" w:rsidRPr="00C379C8">
              <w:t>initial  application</w:t>
            </w:r>
            <w:proofErr w:type="gramEnd"/>
            <w:r w:rsidR="00FE448B" w:rsidRPr="00C379C8">
              <w:t xml:space="preserve">, with regards to the application of CPR for food products containing </w:t>
            </w:r>
            <w:proofErr w:type="spellStart"/>
            <w:r w:rsidR="00FE448B" w:rsidRPr="00C379C8">
              <w:t>Aluminum</w:t>
            </w:r>
            <w:proofErr w:type="spellEnd"/>
            <w:r w:rsidR="00FE448B" w:rsidRPr="00C379C8">
              <w:t xml:space="preserve"> Lake </w:t>
            </w:r>
            <w:proofErr w:type="spellStart"/>
            <w:r w:rsidR="00FE448B" w:rsidRPr="00C379C8">
              <w:t>Colors</w:t>
            </w:r>
            <w:proofErr w:type="spellEnd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The guidelines is being issued to serve as guide to all food manufacturers, importers and distributors of processed food products containing </w:t>
            </w:r>
            <w:proofErr w:type="spellStart"/>
            <w:r w:rsidR="00EE3A11" w:rsidRPr="00C379C8">
              <w:t>Aluminum</w:t>
            </w:r>
            <w:proofErr w:type="spellEnd"/>
            <w:r w:rsidR="00EE3A11" w:rsidRPr="00C379C8">
              <w:t xml:space="preserve"> Lake </w:t>
            </w:r>
            <w:proofErr w:type="spellStart"/>
            <w:r w:rsidR="00EE3A11" w:rsidRPr="00C379C8">
              <w:t>Colors</w:t>
            </w:r>
            <w:proofErr w:type="spellEnd"/>
            <w:r w:rsidR="00EE3A11" w:rsidRPr="00C379C8">
              <w:t>, in particular, and the general public, at large; and to demonstrate compliance to food safety and quality prior to issuance of FDA authorizations. ; Consumer information, labelling; Protection of human health or safety</w:t>
            </w:r>
            <w:bookmarkStart w:id="28" w:name="sps7f"/>
            <w:bookmarkEnd w:id="28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5D090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D0909" w:rsidP="005D0909">
            <w:pPr>
              <w:keepNext/>
              <w:keepLines/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75EAB" w:rsidRPr="002F6A28" w:rsidRDefault="005D0909" w:rsidP="005D0909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Bureau </w:t>
            </w:r>
            <w:proofErr w:type="gramStart"/>
            <w:r w:rsidRPr="002F6A28">
              <w:rPr>
                <w:bCs/>
              </w:rPr>
              <w:t>Circular  No.</w:t>
            </w:r>
            <w:proofErr w:type="gramEnd"/>
            <w:r w:rsidRPr="002F6A28">
              <w:rPr>
                <w:bCs/>
              </w:rPr>
              <w:t xml:space="preserve"> 2006-016 or the Updated List of Food Additives </w:t>
            </w:r>
          </w:p>
          <w:p w:rsidR="00C75EAB" w:rsidRPr="002F6A28" w:rsidRDefault="005D0909" w:rsidP="005D0909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Administrative Order No. 88 –A S.1984 – Regulatory Guidelines Concerning Food Additives</w:t>
            </w:r>
          </w:p>
          <w:p w:rsidR="00C75EAB" w:rsidRPr="002F6A28" w:rsidRDefault="005D0909" w:rsidP="005D0909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RA 9711- Food and Drug Administration Act of 2009 and its Implementing Rules and Regulations</w:t>
            </w:r>
          </w:p>
          <w:p w:rsidR="00C75EAB" w:rsidRPr="002F6A28" w:rsidRDefault="005D0909" w:rsidP="005D0909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RA 10611 – Food Safety Act of 2016 and its Implementing Rules and Regulations</w:t>
            </w:r>
          </w:p>
          <w:p w:rsidR="00C75EAB" w:rsidRPr="002F6A28" w:rsidRDefault="005D0909" w:rsidP="005D0909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CAC/GL3-1989, Adopted 1989, Revision 2014 – Guidelines for the Simple Evaluation of Dietary Exposure to Food Additives</w:t>
            </w:r>
          </w:p>
        </w:tc>
      </w:tr>
      <w:tr w:rsidR="00F54FA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D09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D090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-</w:t>
            </w:r>
            <w:bookmarkEnd w:id="32"/>
          </w:p>
          <w:p w:rsidR="00EE3A11" w:rsidRPr="002F6A28" w:rsidRDefault="005D090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-</w:t>
            </w:r>
            <w:bookmarkEnd w:id="35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D090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7" w:name="sps12a"/>
            <w:bookmarkEnd w:id="37"/>
          </w:p>
        </w:tc>
      </w:tr>
      <w:tr w:rsidR="00F54FA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D090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D090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C75EAB" w:rsidRPr="002F6A28" w:rsidRDefault="005D0909" w:rsidP="00B16145">
            <w:pPr>
              <w:keepNext/>
              <w:keepLines/>
              <w:spacing w:before="120" w:after="120"/>
              <w:jc w:val="left"/>
            </w:pPr>
            <w:proofErr w:type="spellStart"/>
            <w:r w:rsidRPr="002F6A28">
              <w:t>Center</w:t>
            </w:r>
            <w:proofErr w:type="spellEnd"/>
            <w:r w:rsidRPr="002F6A28">
              <w:t xml:space="preserve"> for Food Regulation and Research </w:t>
            </w:r>
            <w:r w:rsidRPr="002F6A28">
              <w:br/>
              <w:t>FOOD AND DRUG ADMINISTRATION</w:t>
            </w:r>
            <w:r w:rsidRPr="002F6A28">
              <w:br/>
              <w:t>Department of Health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mtccerbolles@fda.gov.ph</w:t>
              </w:r>
            </w:hyperlink>
            <w:r w:rsidRPr="002F6A28">
              <w:t xml:space="preserve"> 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tessafda@yahoo.com</w:t>
              </w:r>
            </w:hyperlink>
          </w:p>
          <w:p w:rsidR="00C75EAB" w:rsidRPr="002F6A28" w:rsidRDefault="00D04468" w:rsidP="00B16145">
            <w:pPr>
              <w:keepNext/>
              <w:keepLines/>
              <w:spacing w:before="120" w:after="120"/>
            </w:pPr>
            <w:hyperlink r:id="rId11" w:history="1">
              <w:r w:rsidR="005D0909" w:rsidRPr="002F6A28">
                <w:rPr>
                  <w:color w:val="0000FF"/>
                  <w:u w:val="single"/>
                </w:rPr>
                <w:t>https://members.wto.org/crnattachments/2019/TBT/PHL/19_4313_00_e.pdf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E9" w:rsidRDefault="005D0909">
      <w:r>
        <w:separator/>
      </w:r>
    </w:p>
  </w:endnote>
  <w:endnote w:type="continuationSeparator" w:id="0">
    <w:p w:rsidR="007C0FE9" w:rsidRDefault="005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D090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D090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D090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E9" w:rsidRDefault="005D0909">
      <w:r>
        <w:separator/>
      </w:r>
    </w:p>
  </w:footnote>
  <w:footnote w:type="continuationSeparator" w:id="0">
    <w:p w:rsidR="007C0FE9" w:rsidRDefault="005D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D09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D09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D09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PHL</w:t>
    </w:r>
    <w:proofErr w:type="spellEnd"/>
    <w:r w:rsidRPr="002F6A28">
      <w:t>/221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D090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4FA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54FA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D090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97795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54FA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5D090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PHL</w:t>
          </w:r>
          <w:proofErr w:type="spellEnd"/>
          <w:r w:rsidRPr="002F6A28">
            <w:rPr>
              <w:b/>
              <w:szCs w:val="16"/>
            </w:rPr>
            <w:t>/221</w:t>
          </w:r>
          <w:bookmarkEnd w:id="44"/>
        </w:p>
      </w:tc>
    </w:tr>
    <w:tr w:rsidR="00F54FA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A1B1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5 August 2019</w:t>
          </w:r>
        </w:p>
      </w:tc>
    </w:tr>
    <w:tr w:rsidR="00F54FA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D090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DA1B1B">
            <w:rPr>
              <w:color w:val="FF0000"/>
              <w:szCs w:val="16"/>
            </w:rPr>
            <w:t>19-5068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D090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54FA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D090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D090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FC92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C64734" w:tentative="1">
      <w:start w:val="1"/>
      <w:numFmt w:val="lowerLetter"/>
      <w:lvlText w:val="%2."/>
      <w:lvlJc w:val="left"/>
      <w:pPr>
        <w:ind w:left="1080" w:hanging="360"/>
      </w:pPr>
    </w:lvl>
    <w:lvl w:ilvl="2" w:tplc="03CCEE58" w:tentative="1">
      <w:start w:val="1"/>
      <w:numFmt w:val="lowerRoman"/>
      <w:lvlText w:val="%3."/>
      <w:lvlJc w:val="right"/>
      <w:pPr>
        <w:ind w:left="1800" w:hanging="180"/>
      </w:pPr>
    </w:lvl>
    <w:lvl w:ilvl="3" w:tplc="4E36C3BA" w:tentative="1">
      <w:start w:val="1"/>
      <w:numFmt w:val="decimal"/>
      <w:lvlText w:val="%4."/>
      <w:lvlJc w:val="left"/>
      <w:pPr>
        <w:ind w:left="2520" w:hanging="360"/>
      </w:pPr>
    </w:lvl>
    <w:lvl w:ilvl="4" w:tplc="34DE8BB2" w:tentative="1">
      <w:start w:val="1"/>
      <w:numFmt w:val="lowerLetter"/>
      <w:lvlText w:val="%5."/>
      <w:lvlJc w:val="left"/>
      <w:pPr>
        <w:ind w:left="3240" w:hanging="360"/>
      </w:pPr>
    </w:lvl>
    <w:lvl w:ilvl="5" w:tplc="C5CCC954" w:tentative="1">
      <w:start w:val="1"/>
      <w:numFmt w:val="lowerRoman"/>
      <w:lvlText w:val="%6."/>
      <w:lvlJc w:val="right"/>
      <w:pPr>
        <w:ind w:left="3960" w:hanging="180"/>
      </w:pPr>
    </w:lvl>
    <w:lvl w:ilvl="6" w:tplc="10A62E38" w:tentative="1">
      <w:start w:val="1"/>
      <w:numFmt w:val="decimal"/>
      <w:lvlText w:val="%7."/>
      <w:lvlJc w:val="left"/>
      <w:pPr>
        <w:ind w:left="4680" w:hanging="360"/>
      </w:pPr>
    </w:lvl>
    <w:lvl w:ilvl="7" w:tplc="8D36DEB2" w:tentative="1">
      <w:start w:val="1"/>
      <w:numFmt w:val="lowerLetter"/>
      <w:lvlText w:val="%8."/>
      <w:lvlJc w:val="left"/>
      <w:pPr>
        <w:ind w:left="5400" w:hanging="360"/>
      </w:pPr>
    </w:lvl>
    <w:lvl w:ilvl="8" w:tplc="0C80D1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E5847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9EC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4C4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F29A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7EE9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BCED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42F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3A8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081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0909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0FE9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2B5F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5EAB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4468"/>
    <w:rsid w:val="00D52A9D"/>
    <w:rsid w:val="00D55AAD"/>
    <w:rsid w:val="00D70F5B"/>
    <w:rsid w:val="00D747AE"/>
    <w:rsid w:val="00D9226C"/>
    <w:rsid w:val="00DA1B1B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4FAF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afda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ccerbolles@fda.gov.p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PHL/19_431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ssafda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tccerbolles@fda.gov.p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2688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2019-08-05T08:46:00Z</dcterms:created>
  <dcterms:modified xsi:type="dcterms:W3CDTF">2019-08-05T10:17:00Z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