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3B0672" w:rsidP="002F6A28">
      <w:pPr>
        <w:pStyle w:val="Titre"/>
        <w:rPr>
          <w:caps w:val="0"/>
          <w:kern w:val="0"/>
        </w:rPr>
      </w:pPr>
      <w:r w:rsidRPr="002F6A28">
        <w:rPr>
          <w:caps w:val="0"/>
          <w:kern w:val="0"/>
        </w:rPr>
        <w:t>NOTIFICATION</w:t>
      </w:r>
    </w:p>
    <w:p w:rsidR="009239F7" w:rsidRPr="002F6A28" w:rsidRDefault="003B0672"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85E9C" w:rsidTr="0069259F">
        <w:tc>
          <w:tcPr>
            <w:tcW w:w="713" w:type="dxa"/>
            <w:tcBorders>
              <w:bottom w:val="single" w:sz="6" w:space="0" w:color="auto"/>
            </w:tcBorders>
            <w:shd w:val="clear" w:color="auto" w:fill="auto"/>
          </w:tcPr>
          <w:p w:rsidR="00F85C99" w:rsidRPr="002F6A28" w:rsidRDefault="003B0672"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B067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rsidR="00F85C99" w:rsidRPr="002F6A28" w:rsidRDefault="003B067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85E9C" w:rsidTr="0069259F">
        <w:tc>
          <w:tcPr>
            <w:tcW w:w="713" w:type="dxa"/>
            <w:tcBorders>
              <w:top w:val="single" w:sz="6" w:space="0" w:color="auto"/>
              <w:bottom w:val="single" w:sz="6" w:space="0" w:color="auto"/>
            </w:tcBorders>
            <w:shd w:val="clear" w:color="auto" w:fill="auto"/>
          </w:tcPr>
          <w:p w:rsidR="00F85C99" w:rsidRPr="002F6A28" w:rsidRDefault="003B067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3B067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Department of Health - Food and Drug Administration</w:t>
            </w:r>
            <w:bookmarkEnd w:id="5"/>
          </w:p>
          <w:p w:rsidR="00F85C99" w:rsidRPr="002F6A28" w:rsidRDefault="003B067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p>
          <w:p w:rsidR="00A85E9C" w:rsidRPr="003265A4" w:rsidRDefault="003B0672" w:rsidP="00AA646C">
            <w:pPr>
              <w:rPr>
                <w:lang w:val="es-ES"/>
              </w:rPr>
            </w:pPr>
            <w:proofErr w:type="spellStart"/>
            <w:r w:rsidRPr="003265A4">
              <w:rPr>
                <w:lang w:val="es-ES"/>
              </w:rPr>
              <w:t>Engr</w:t>
            </w:r>
            <w:proofErr w:type="spellEnd"/>
            <w:r w:rsidRPr="003265A4">
              <w:rPr>
                <w:lang w:val="es-ES"/>
              </w:rPr>
              <w:t xml:space="preserve">. </w:t>
            </w:r>
            <w:proofErr w:type="spellStart"/>
            <w:r w:rsidRPr="003265A4">
              <w:rPr>
                <w:lang w:val="es-ES"/>
              </w:rPr>
              <w:t>Bayani</w:t>
            </w:r>
            <w:proofErr w:type="spellEnd"/>
            <w:r w:rsidRPr="003265A4">
              <w:rPr>
                <w:lang w:val="es-ES"/>
              </w:rPr>
              <w:t xml:space="preserve"> C. San Juan, </w:t>
            </w:r>
            <w:proofErr w:type="gramStart"/>
            <w:r w:rsidRPr="003265A4">
              <w:rPr>
                <w:lang w:val="es-ES"/>
              </w:rPr>
              <w:t>Director</w:t>
            </w:r>
            <w:proofErr w:type="gramEnd"/>
            <w:r w:rsidRPr="003265A4">
              <w:rPr>
                <w:lang w:val="es-ES"/>
              </w:rPr>
              <w:t xml:space="preserve"> IV</w:t>
            </w:r>
          </w:p>
          <w:p w:rsidR="00A85E9C" w:rsidRPr="002F6A28" w:rsidRDefault="003B0672" w:rsidP="00AA646C">
            <w:proofErr w:type="spellStart"/>
            <w:r w:rsidRPr="002F6A28">
              <w:t>Center</w:t>
            </w:r>
            <w:proofErr w:type="spellEnd"/>
            <w:r w:rsidRPr="002F6A28">
              <w:t xml:space="preserve"> for Device Regulation, Radiation Health, and Research (</w:t>
            </w:r>
            <w:proofErr w:type="spellStart"/>
            <w:r w:rsidRPr="002F6A28">
              <w:t>CDRRHR</w:t>
            </w:r>
            <w:proofErr w:type="spellEnd"/>
            <w:r w:rsidRPr="002F6A28">
              <w:t>)</w:t>
            </w:r>
          </w:p>
          <w:p w:rsidR="00A85E9C" w:rsidRPr="002F6A28" w:rsidRDefault="003B0672" w:rsidP="00AA646C">
            <w:r w:rsidRPr="002F6A28">
              <w:t>Civic Drive, Filinvest Corporate City, Alabang 1781 Muntinlupa, Philippines</w:t>
            </w:r>
          </w:p>
          <w:p w:rsidR="00A85E9C" w:rsidRPr="002F6A28" w:rsidRDefault="003B0672" w:rsidP="00AA646C">
            <w:r w:rsidRPr="002F6A28">
              <w:t xml:space="preserve">+632.857.1900 </w:t>
            </w:r>
            <w:proofErr w:type="spellStart"/>
            <w:r w:rsidRPr="002F6A28">
              <w:t>loc</w:t>
            </w:r>
            <w:proofErr w:type="spellEnd"/>
            <w:r w:rsidRPr="002F6A28">
              <w:t xml:space="preserve"> 8301</w:t>
            </w:r>
          </w:p>
          <w:p w:rsidR="00783BDD" w:rsidRPr="002F6A28" w:rsidRDefault="009E6A58" w:rsidP="00AA646C">
            <w:hyperlink r:id="rId7" w:history="1">
              <w:r w:rsidR="00783BDD" w:rsidRPr="00C3242A">
                <w:rPr>
                  <w:rStyle w:val="Lienhypertexte"/>
                </w:rPr>
                <w:t>info@fda.gov.ph</w:t>
              </w:r>
            </w:hyperlink>
            <w:r w:rsidR="003B0672" w:rsidRPr="002F6A28">
              <w:t>/</w:t>
            </w:r>
            <w:hyperlink r:id="rId8" w:history="1">
              <w:r w:rsidR="00783BDD" w:rsidRPr="00C3242A">
                <w:rPr>
                  <w:rStyle w:val="Lienhypertexte"/>
                </w:rPr>
                <w:t>eppayas@fda.gov.ph</w:t>
              </w:r>
            </w:hyperlink>
          </w:p>
          <w:p w:rsidR="00783BDD" w:rsidRPr="002F6A28" w:rsidRDefault="009E6A58" w:rsidP="00783BDD">
            <w:pPr>
              <w:spacing w:after="120"/>
            </w:pPr>
            <w:hyperlink r:id="rId9" w:history="1">
              <w:r w:rsidR="00783BDD" w:rsidRPr="00C3242A">
                <w:rPr>
                  <w:rStyle w:val="Lienhypertexte"/>
                </w:rPr>
                <w:t>www.fda.gov.ph</w:t>
              </w:r>
            </w:hyperlink>
          </w:p>
        </w:tc>
      </w:tr>
      <w:tr w:rsidR="00A85E9C" w:rsidTr="0069259F">
        <w:tc>
          <w:tcPr>
            <w:tcW w:w="713" w:type="dxa"/>
            <w:tcBorders>
              <w:top w:val="single" w:sz="6" w:space="0" w:color="auto"/>
              <w:bottom w:val="single" w:sz="6" w:space="0" w:color="auto"/>
            </w:tcBorders>
            <w:shd w:val="clear" w:color="auto" w:fill="auto"/>
          </w:tcPr>
          <w:p w:rsidR="00F85C99" w:rsidRPr="002F6A28" w:rsidRDefault="003B067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3B0672" w:rsidP="002F6A28">
            <w:pPr>
              <w:spacing w:before="120" w:after="120"/>
            </w:pPr>
            <w:bookmarkStart w:id="7" w:name="X_TBT_Reg_3A"/>
            <w:r w:rsidRPr="002F6A28">
              <w:rPr>
                <w:b/>
              </w:rPr>
              <w:t>Notified under Article 2.9.2</w:t>
            </w:r>
            <w:bookmarkEnd w:id="7"/>
            <w:r w:rsidRPr="002F6A28">
              <w:rPr>
                <w:b/>
              </w:rPr>
              <w:t xml:space="preserve"> [</w:t>
            </w:r>
            <w:bookmarkStart w:id="8" w:name="tbt3a"/>
            <w:r w:rsidRPr="002F6A28">
              <w:rPr>
                <w:b/>
              </w:rPr>
              <w:t>X</w:t>
            </w:r>
            <w:bookmarkEnd w:id="8"/>
            <w:r w:rsidRPr="002F6A28">
              <w:rPr>
                <w:b/>
              </w:rPr>
              <w:t xml:space="preserve">], </w:t>
            </w:r>
            <w:bookmarkStart w:id="9" w:name="X_TBT_Reg_3B"/>
            <w:r w:rsidRPr="002F6A28">
              <w:rPr>
                <w:b/>
              </w:rPr>
              <w:t>2.10.1</w:t>
            </w:r>
            <w:bookmarkEnd w:id="9"/>
            <w:r w:rsidRPr="002F6A28">
              <w:rPr>
                <w:b/>
              </w:rPr>
              <w:t xml:space="preserve"> </w:t>
            </w:r>
            <w:proofErr w:type="gramStart"/>
            <w:r w:rsidRPr="002F6A28">
              <w:rPr>
                <w:b/>
              </w:rPr>
              <w:t>[</w:t>
            </w:r>
            <w:bookmarkStart w:id="10" w:name="tbt3b"/>
            <w:r w:rsidRPr="002F6A28">
              <w:rPr>
                <w:b/>
              </w:rPr>
              <w:t>  </w:t>
            </w:r>
            <w:bookmarkEnd w:id="10"/>
            <w:r w:rsidRPr="002F6A28">
              <w:rPr>
                <w:b/>
              </w:rPr>
              <w:t>]</w:t>
            </w:r>
            <w:proofErr w:type="gramEnd"/>
            <w:r w:rsidRPr="002F6A28">
              <w:rPr>
                <w:b/>
              </w:rPr>
              <w:t xml:space="preserve">, </w:t>
            </w:r>
            <w:bookmarkStart w:id="11" w:name="X_TBT_Reg_3C"/>
            <w:r w:rsidRPr="002F6A28">
              <w:rPr>
                <w:b/>
              </w:rPr>
              <w:t>5.6.2</w:t>
            </w:r>
            <w:bookmarkEnd w:id="11"/>
            <w:r w:rsidRPr="002F6A28">
              <w:rPr>
                <w:b/>
              </w:rPr>
              <w:t xml:space="preserve"> [</w:t>
            </w:r>
            <w:bookmarkStart w:id="12" w:name="tbt3c"/>
            <w:r w:rsidRPr="002F6A28">
              <w:rPr>
                <w:b/>
              </w:rPr>
              <w:t>  </w:t>
            </w:r>
            <w:bookmarkEnd w:id="12"/>
            <w:r w:rsidRPr="002F6A28">
              <w:rPr>
                <w:b/>
              </w:rPr>
              <w:t xml:space="preserve">], </w:t>
            </w:r>
            <w:bookmarkStart w:id="13" w:name="X_TBT_Reg_3D"/>
            <w:r w:rsidRPr="002F6A28">
              <w:rPr>
                <w:b/>
              </w:rPr>
              <w:t>5.7.1</w:t>
            </w:r>
            <w:bookmarkEnd w:id="13"/>
            <w:r w:rsidRPr="002F6A28">
              <w:rPr>
                <w:b/>
              </w:rPr>
              <w:t xml:space="preserve"> [</w:t>
            </w:r>
            <w:bookmarkStart w:id="14" w:name="tbt3d"/>
            <w:r w:rsidRPr="002F6A28">
              <w:rPr>
                <w:b/>
              </w:rPr>
              <w:t>  </w:t>
            </w:r>
            <w:bookmarkEnd w:id="14"/>
            <w:r w:rsidRPr="002F6A28">
              <w:rPr>
                <w:b/>
              </w:rPr>
              <w:t xml:space="preserve">], </w:t>
            </w:r>
            <w:bookmarkStart w:id="15" w:name="X_TBT_Reg_3E"/>
            <w:r w:rsidRPr="002F6A28">
              <w:rPr>
                <w:b/>
              </w:rPr>
              <w:t>other</w:t>
            </w:r>
            <w:bookmarkEnd w:id="15"/>
            <w:r w:rsidR="00FF5C69">
              <w:rPr>
                <w:b/>
              </w:rPr>
              <w:t>:</w:t>
            </w:r>
            <w:r w:rsidR="0058336F">
              <w:rPr>
                <w:b/>
              </w:rPr>
              <w:t xml:space="preserve"> </w:t>
            </w:r>
            <w:bookmarkStart w:id="16" w:name="tbt3e"/>
            <w:bookmarkEnd w:id="16"/>
          </w:p>
        </w:tc>
      </w:tr>
      <w:tr w:rsidR="00A85E9C" w:rsidTr="0069259F">
        <w:tc>
          <w:tcPr>
            <w:tcW w:w="713" w:type="dxa"/>
            <w:tcBorders>
              <w:top w:val="single" w:sz="6" w:space="0" w:color="auto"/>
              <w:bottom w:val="single" w:sz="6" w:space="0" w:color="auto"/>
            </w:tcBorders>
            <w:shd w:val="clear" w:color="auto" w:fill="auto"/>
          </w:tcPr>
          <w:p w:rsidR="00F85C99" w:rsidRPr="002F6A28" w:rsidRDefault="003B067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3B0672" w:rsidP="002F6A28">
            <w:pPr>
              <w:spacing w:before="120" w:after="120"/>
            </w:pPr>
            <w:bookmarkStart w:id="17"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7"/>
            <w:r w:rsidRPr="002F6A28">
              <w:rPr>
                <w:b/>
              </w:rPr>
              <w:t>:</w:t>
            </w:r>
            <w:r w:rsidR="00EE3A11" w:rsidRPr="00C379C8">
              <w:t xml:space="preserve"> </w:t>
            </w:r>
            <w:bookmarkStart w:id="18" w:name="sps3a"/>
            <w:r w:rsidRPr="002F6A28">
              <w:rPr>
                <w:bCs/>
              </w:rPr>
              <w:t>Medical equipment (ICS 11.040), In vitro diagnostic test systems (ICS 11.100.10)</w:t>
            </w:r>
            <w:bookmarkEnd w:id="18"/>
          </w:p>
        </w:tc>
      </w:tr>
      <w:tr w:rsidR="00A85E9C" w:rsidTr="0069259F">
        <w:tc>
          <w:tcPr>
            <w:tcW w:w="713" w:type="dxa"/>
            <w:tcBorders>
              <w:top w:val="single" w:sz="6" w:space="0" w:color="auto"/>
              <w:bottom w:val="single" w:sz="6" w:space="0" w:color="auto"/>
            </w:tcBorders>
            <w:shd w:val="clear" w:color="auto" w:fill="auto"/>
          </w:tcPr>
          <w:p w:rsidR="00F85C99" w:rsidRPr="002F6A28" w:rsidRDefault="003B067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B0672" w:rsidP="002F6A28">
            <w:pPr>
              <w:spacing w:before="120" w:after="120"/>
            </w:pPr>
            <w:bookmarkStart w:id="19" w:name="X_TBT_Reg_5A"/>
            <w:r w:rsidRPr="002F6A28">
              <w:rPr>
                <w:b/>
              </w:rPr>
              <w:t>Title, number of pages and language(s) of the notified document</w:t>
            </w:r>
            <w:bookmarkEnd w:id="19"/>
            <w:r w:rsidRPr="002F6A28">
              <w:rPr>
                <w:b/>
              </w:rPr>
              <w:t>:</w:t>
            </w:r>
            <w:r w:rsidR="00EE3A11" w:rsidRPr="00C379C8">
              <w:t xml:space="preserve"> </w:t>
            </w:r>
            <w:bookmarkStart w:id="20" w:name="sps5a"/>
            <w:r w:rsidRPr="002F6A28">
              <w:t>Draft Administrative Order No. ___</w:t>
            </w:r>
            <w:r w:rsidR="00B74C63">
              <w:t>_</w:t>
            </w:r>
            <w:r w:rsidRPr="002F6A28">
              <w:t xml:space="preserve">: Guidelines on the </w:t>
            </w:r>
            <w:proofErr w:type="spellStart"/>
            <w:r w:rsidRPr="002F6A28">
              <w:t>Labeling</w:t>
            </w:r>
            <w:proofErr w:type="spellEnd"/>
            <w:r w:rsidRPr="002F6A28">
              <w:t xml:space="preserve"> Requirements for Medical Devices in the Philippines (10 page(s), in English)</w:t>
            </w:r>
            <w:bookmarkStart w:id="21" w:name="sps5c"/>
            <w:bookmarkStart w:id="22" w:name="sps5b"/>
            <w:bookmarkEnd w:id="20"/>
            <w:bookmarkEnd w:id="21"/>
            <w:bookmarkEnd w:id="22"/>
          </w:p>
        </w:tc>
      </w:tr>
      <w:tr w:rsidR="00A85E9C" w:rsidTr="0069259F">
        <w:tc>
          <w:tcPr>
            <w:tcW w:w="713" w:type="dxa"/>
            <w:tcBorders>
              <w:top w:val="single" w:sz="6" w:space="0" w:color="auto"/>
              <w:bottom w:val="single" w:sz="6" w:space="0" w:color="auto"/>
            </w:tcBorders>
            <w:shd w:val="clear" w:color="auto" w:fill="auto"/>
          </w:tcPr>
          <w:p w:rsidR="00F85C99" w:rsidRPr="002F6A28" w:rsidRDefault="003B067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B0672" w:rsidP="002F6A28">
            <w:pPr>
              <w:spacing w:before="120" w:after="120"/>
              <w:rPr>
                <w:b/>
              </w:rPr>
            </w:pPr>
            <w:bookmarkStart w:id="23" w:name="X_TBT_Reg_6A"/>
            <w:r w:rsidRPr="002F6A28">
              <w:rPr>
                <w:b/>
              </w:rPr>
              <w:t>Description of content</w:t>
            </w:r>
            <w:bookmarkEnd w:id="23"/>
            <w:r w:rsidRPr="002F6A28">
              <w:rPr>
                <w:b/>
              </w:rPr>
              <w:t>:</w:t>
            </w:r>
            <w:r w:rsidR="00FE448B" w:rsidRPr="00C379C8">
              <w:t xml:space="preserve"> </w:t>
            </w:r>
            <w:r w:rsidRPr="002F6A28">
              <w:t xml:space="preserve">The Food and Drug Administration (FDA) through the </w:t>
            </w:r>
            <w:proofErr w:type="spellStart"/>
            <w:r w:rsidRPr="002F6A28">
              <w:t>Center</w:t>
            </w:r>
            <w:proofErr w:type="spellEnd"/>
            <w:r w:rsidRPr="002F6A28">
              <w:t xml:space="preserve"> for Device Regulation, Radiation Health and Research (</w:t>
            </w:r>
            <w:proofErr w:type="spellStart"/>
            <w:r w:rsidRPr="002F6A28">
              <w:t>CDRRHR</w:t>
            </w:r>
            <w:proofErr w:type="spellEnd"/>
            <w:r w:rsidRPr="002F6A28">
              <w:t xml:space="preserve">) is the primary agency authorized to enforce regulatory requirement on manufacture, importation, distribution, sale, and offering for sale of medical devices in accordance with the provisions of Republic Act 9711 also known as FDA Act of 2009, its Implementing Rules and Regulations (IRR). As stipulated in the IRR, the </w:t>
            </w:r>
            <w:proofErr w:type="spellStart"/>
            <w:r w:rsidRPr="002F6A28">
              <w:t>CDRRHR</w:t>
            </w:r>
            <w:proofErr w:type="spellEnd"/>
            <w:r w:rsidRPr="002F6A28">
              <w:t xml:space="preserve"> is mandated to establish an effective regulatory system and mechanism to ensure the safety, quality and performance of medical devices in the Philippines.</w:t>
            </w:r>
          </w:p>
          <w:p w:rsidR="00A85E9C" w:rsidRPr="002F6A28" w:rsidRDefault="003B0672" w:rsidP="002F6A28">
            <w:pPr>
              <w:spacing w:before="120" w:after="120"/>
            </w:pPr>
            <w:r w:rsidRPr="002F6A28">
              <w:t>The Philippines as a signatory to the ASEAN Agreement on Medical Device Directive (</w:t>
            </w:r>
            <w:proofErr w:type="spellStart"/>
            <w:r w:rsidRPr="002F6A28">
              <w:t>AMDD</w:t>
            </w:r>
            <w:proofErr w:type="spellEnd"/>
            <w:r w:rsidRPr="002F6A28">
              <w:t>), adheres to continuously harmonize the technical procedures and requirements to reduce diversity in the regulations of medical devices.</w:t>
            </w:r>
          </w:p>
          <w:p w:rsidR="00A85E9C" w:rsidRPr="002F6A28" w:rsidRDefault="003B0672" w:rsidP="002F6A28">
            <w:pPr>
              <w:spacing w:before="120" w:after="120"/>
            </w:pPr>
            <w:r w:rsidRPr="002F6A28">
              <w:t xml:space="preserve">The issuance of the guidelines on </w:t>
            </w:r>
            <w:proofErr w:type="spellStart"/>
            <w:r w:rsidRPr="002F6A28">
              <w:t>labeling</w:t>
            </w:r>
            <w:proofErr w:type="spellEnd"/>
            <w:r w:rsidRPr="002F6A28">
              <w:t xml:space="preserve"> requirements for medical devices, serves to communicate safety instructions related to information to users and/ or patients, as well as to standardize the required policy, and to assure the highest quality of medical devices used in the country.</w:t>
            </w:r>
          </w:p>
        </w:tc>
      </w:tr>
      <w:tr w:rsidR="00A85E9C" w:rsidTr="0069259F">
        <w:tc>
          <w:tcPr>
            <w:tcW w:w="713" w:type="dxa"/>
            <w:tcBorders>
              <w:top w:val="single" w:sz="6" w:space="0" w:color="auto"/>
              <w:bottom w:val="single" w:sz="6" w:space="0" w:color="auto"/>
            </w:tcBorders>
            <w:shd w:val="clear" w:color="auto" w:fill="auto"/>
          </w:tcPr>
          <w:p w:rsidR="00F85C99" w:rsidRPr="002F6A28" w:rsidRDefault="003B0672" w:rsidP="00717105">
            <w:pPr>
              <w:keepNext/>
              <w:keepLines/>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7F581A" w:rsidRDefault="003B0672" w:rsidP="00717105">
            <w:pPr>
              <w:keepNext/>
              <w:keepLines/>
              <w:spacing w:before="120" w:after="120"/>
            </w:pPr>
            <w:bookmarkStart w:id="24" w:name="X_TBT_Reg_7A"/>
            <w:r w:rsidRPr="002F6A28">
              <w:rPr>
                <w:b/>
              </w:rPr>
              <w:t>Objective and rationale, including the nature of urgent problems where applicable</w:t>
            </w:r>
            <w:bookmarkEnd w:id="24"/>
            <w:r w:rsidRPr="002F6A28">
              <w:rPr>
                <w:b/>
              </w:rPr>
              <w:t>:</w:t>
            </w:r>
            <w:r w:rsidR="00EE3A11" w:rsidRPr="00C379C8">
              <w:t xml:space="preserve"> </w:t>
            </w:r>
            <w:bookmarkStart w:id="25" w:name="sps7f"/>
            <w:r w:rsidRPr="002F6A28">
              <w:t xml:space="preserve">This Administrative Order aims to provide guidelines on the </w:t>
            </w:r>
            <w:proofErr w:type="spellStart"/>
            <w:r w:rsidRPr="002F6A28">
              <w:t>labeling</w:t>
            </w:r>
            <w:proofErr w:type="spellEnd"/>
            <w:r w:rsidRPr="002F6A28">
              <w:t xml:space="preserve"> requirements for medical devices aligned with the provisions of the ASEAN Medical Device Directive.</w:t>
            </w:r>
          </w:p>
          <w:p w:rsidR="00F85C99" w:rsidRPr="002F6A28" w:rsidRDefault="003B0672" w:rsidP="00717105">
            <w:pPr>
              <w:keepNext/>
              <w:keepLines/>
              <w:spacing w:before="120" w:after="120"/>
              <w:rPr>
                <w:b/>
              </w:rPr>
            </w:pPr>
            <w:r w:rsidRPr="002F6A28">
              <w:t>Consumer information, labelling; Protection of human health or safety; Quality requirements</w:t>
            </w:r>
            <w:bookmarkEnd w:id="25"/>
          </w:p>
        </w:tc>
      </w:tr>
      <w:tr w:rsidR="00A85E9C" w:rsidTr="0069259F">
        <w:tc>
          <w:tcPr>
            <w:tcW w:w="713" w:type="dxa"/>
            <w:tcBorders>
              <w:top w:val="single" w:sz="6" w:space="0" w:color="auto"/>
              <w:bottom w:val="single" w:sz="6" w:space="0" w:color="auto"/>
            </w:tcBorders>
            <w:shd w:val="clear" w:color="auto" w:fill="auto"/>
          </w:tcPr>
          <w:p w:rsidR="00F85C99" w:rsidRPr="002F6A28" w:rsidRDefault="003B067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3B0672" w:rsidP="009E75ED">
            <w:pPr>
              <w:spacing w:before="120" w:after="120"/>
            </w:pPr>
            <w:bookmarkStart w:id="26" w:name="X_TBT_Reg_8A"/>
            <w:r w:rsidRPr="002F6A28">
              <w:rPr>
                <w:b/>
              </w:rPr>
              <w:t>Relevant documents</w:t>
            </w:r>
            <w:bookmarkEnd w:id="26"/>
            <w:r w:rsidRPr="002F6A28">
              <w:rPr>
                <w:b/>
              </w:rPr>
              <w:t>:</w:t>
            </w:r>
            <w:r w:rsidR="00EE3A11" w:rsidRPr="002F6A28">
              <w:t xml:space="preserve"> </w:t>
            </w:r>
          </w:p>
          <w:p w:rsidR="00A85E9C" w:rsidRPr="002F6A28" w:rsidRDefault="003B0672" w:rsidP="009E75ED">
            <w:pPr>
              <w:numPr>
                <w:ilvl w:val="0"/>
                <w:numId w:val="16"/>
              </w:numPr>
              <w:spacing w:before="120" w:after="120"/>
              <w:jc w:val="left"/>
              <w:rPr>
                <w:bCs/>
              </w:rPr>
            </w:pPr>
            <w:r w:rsidRPr="002F6A28">
              <w:rPr>
                <w:bCs/>
                <w:lang w:eastAsia="en-GB"/>
              </w:rPr>
              <w:t>Republic Act 9711 - Food and Drug Administration Act of 2009</w:t>
            </w:r>
          </w:p>
        </w:tc>
      </w:tr>
      <w:tr w:rsidR="00A85E9C" w:rsidTr="00AE6CC8">
        <w:trPr>
          <w:cantSplit/>
        </w:trPr>
        <w:tc>
          <w:tcPr>
            <w:tcW w:w="713" w:type="dxa"/>
            <w:tcBorders>
              <w:top w:val="single" w:sz="6" w:space="0" w:color="auto"/>
              <w:bottom w:val="single" w:sz="6" w:space="0" w:color="auto"/>
            </w:tcBorders>
            <w:shd w:val="clear" w:color="auto" w:fill="auto"/>
          </w:tcPr>
          <w:p w:rsidR="00EE3A11" w:rsidRPr="002F6A28" w:rsidRDefault="003B067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3B0672" w:rsidP="008953C4">
            <w:pPr>
              <w:spacing w:before="120" w:after="120"/>
            </w:pPr>
            <w:bookmarkStart w:id="27" w:name="X_TBT_Reg_9A"/>
            <w:r w:rsidRPr="002F6A28">
              <w:rPr>
                <w:b/>
              </w:rPr>
              <w:t>Proposed date of adoption</w:t>
            </w:r>
            <w:bookmarkEnd w:id="27"/>
            <w:r w:rsidRPr="002F6A28">
              <w:rPr>
                <w:b/>
              </w:rPr>
              <w:t>:</w:t>
            </w:r>
            <w:r w:rsidRPr="00C379C8">
              <w:t xml:space="preserve"> </w:t>
            </w:r>
            <w:bookmarkStart w:id="28" w:name="sps10a"/>
            <w:bookmarkStart w:id="29" w:name="sps10b"/>
            <w:bookmarkEnd w:id="28"/>
            <w:r w:rsidRPr="002F6A28">
              <w:t>This Order shall take effect 15 days after its publication in a national newspaper of general circulation.</w:t>
            </w:r>
            <w:bookmarkEnd w:id="29"/>
          </w:p>
          <w:p w:rsidR="00EE3A11" w:rsidRPr="002F6A28" w:rsidRDefault="003B0672" w:rsidP="008953C4">
            <w:pPr>
              <w:spacing w:after="120"/>
            </w:pPr>
            <w:bookmarkStart w:id="30" w:name="X_TBT_Reg_9B"/>
            <w:r w:rsidRPr="002F6A28">
              <w:rPr>
                <w:b/>
              </w:rPr>
              <w:t>Proposed date of entry into force</w:t>
            </w:r>
            <w:bookmarkEnd w:id="30"/>
            <w:r w:rsidRPr="002F6A28">
              <w:rPr>
                <w:b/>
              </w:rPr>
              <w:t>:</w:t>
            </w:r>
            <w:r w:rsidRPr="00C379C8">
              <w:t xml:space="preserve"> </w:t>
            </w:r>
            <w:bookmarkStart w:id="31" w:name="sps11a"/>
            <w:bookmarkStart w:id="32" w:name="sps11b"/>
            <w:bookmarkEnd w:id="31"/>
            <w:r w:rsidRPr="002F6A28">
              <w:t>This Order shall take effect 15 days after its publication in a national newspaper of general circulation.</w:t>
            </w:r>
            <w:bookmarkEnd w:id="32"/>
          </w:p>
        </w:tc>
      </w:tr>
      <w:tr w:rsidR="00A85E9C" w:rsidTr="0069259F">
        <w:tc>
          <w:tcPr>
            <w:tcW w:w="713" w:type="dxa"/>
            <w:tcBorders>
              <w:top w:val="single" w:sz="6" w:space="0" w:color="auto"/>
              <w:bottom w:val="single" w:sz="6" w:space="0" w:color="auto"/>
            </w:tcBorders>
            <w:shd w:val="clear" w:color="auto" w:fill="auto"/>
          </w:tcPr>
          <w:p w:rsidR="00F85C99" w:rsidRPr="002F6A28" w:rsidRDefault="003B067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B0672" w:rsidP="002F6A28">
            <w:pPr>
              <w:spacing w:before="120" w:after="120"/>
            </w:pPr>
            <w:bookmarkStart w:id="33" w:name="X_TBT_Reg_10A"/>
            <w:r w:rsidRPr="002F6A28">
              <w:rPr>
                <w:b/>
              </w:rPr>
              <w:t>Final date for comments</w:t>
            </w:r>
            <w:bookmarkEnd w:id="33"/>
            <w:r w:rsidRPr="002F6A28">
              <w:rPr>
                <w:b/>
              </w:rPr>
              <w:t>:</w:t>
            </w:r>
            <w:r w:rsidR="00EE3A11" w:rsidRPr="00C379C8">
              <w:t xml:space="preserve"> </w:t>
            </w:r>
            <w:bookmarkStart w:id="34" w:name="sps12a"/>
            <w:r w:rsidRPr="002F6A28">
              <w:rPr>
                <w:bCs/>
              </w:rPr>
              <w:t>60 days from notification</w:t>
            </w:r>
            <w:bookmarkEnd w:id="34"/>
          </w:p>
        </w:tc>
      </w:tr>
      <w:tr w:rsidR="00A85E9C" w:rsidTr="0069259F">
        <w:tc>
          <w:tcPr>
            <w:tcW w:w="713" w:type="dxa"/>
            <w:tcBorders>
              <w:top w:val="single" w:sz="6" w:space="0" w:color="auto"/>
            </w:tcBorders>
            <w:shd w:val="clear" w:color="auto" w:fill="auto"/>
          </w:tcPr>
          <w:p w:rsidR="00F85C99" w:rsidRPr="002F6A28" w:rsidRDefault="003B067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3B0672" w:rsidP="00B16145">
            <w:pPr>
              <w:keepNext/>
              <w:keepLines/>
              <w:spacing w:before="120" w:after="120"/>
            </w:pPr>
            <w:bookmarkStart w:id="35"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5"/>
            <w:r w:rsidRPr="002F6A28">
              <w:rPr>
                <w:b/>
              </w:rPr>
              <w:t xml:space="preserve"> </w:t>
            </w:r>
            <w:r w:rsidR="00533DC1" w:rsidRPr="002F6A28">
              <w:rPr>
                <w:b/>
              </w:rPr>
              <w:t>[</w:t>
            </w:r>
            <w:bookmarkStart w:id="36" w:name="sps13b"/>
            <w:r w:rsidRPr="002F6A28">
              <w:rPr>
                <w:b/>
              </w:rPr>
              <w:t>X</w:t>
            </w:r>
            <w:bookmarkEnd w:id="36"/>
            <w:r w:rsidRPr="002F6A28">
              <w:rPr>
                <w:b/>
              </w:rPr>
              <w:t xml:space="preserve">] </w:t>
            </w:r>
            <w:bookmarkStart w:id="37"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7"/>
            <w:r w:rsidRPr="002F6A28">
              <w:rPr>
                <w:b/>
              </w:rPr>
              <w:t>:</w:t>
            </w:r>
            <w:r w:rsidR="00EE3A11" w:rsidRPr="00C379C8">
              <w:rPr>
                <w:b/>
              </w:rPr>
              <w:t xml:space="preserve"> </w:t>
            </w:r>
            <w:bookmarkStart w:id="38" w:name="sps13c"/>
          </w:p>
          <w:p w:rsidR="00A85E9C" w:rsidRPr="002F6A28" w:rsidRDefault="003B0672" w:rsidP="00B16145">
            <w:pPr>
              <w:keepNext/>
              <w:keepLines/>
            </w:pPr>
            <w:proofErr w:type="spellStart"/>
            <w:r w:rsidRPr="002F6A28">
              <w:t>Center</w:t>
            </w:r>
            <w:proofErr w:type="spellEnd"/>
            <w:r w:rsidRPr="002F6A28">
              <w:t xml:space="preserve"> for Device Regulation, Radiation Health, and Research (</w:t>
            </w:r>
            <w:proofErr w:type="spellStart"/>
            <w:r w:rsidRPr="002F6A28">
              <w:t>CDRRHR</w:t>
            </w:r>
            <w:proofErr w:type="spellEnd"/>
            <w:r w:rsidRPr="002F6A28">
              <w:t>)</w:t>
            </w:r>
          </w:p>
          <w:p w:rsidR="00A85E9C" w:rsidRPr="002F6A28" w:rsidRDefault="003B0672" w:rsidP="00B16145">
            <w:pPr>
              <w:keepNext/>
              <w:keepLines/>
            </w:pPr>
            <w:r w:rsidRPr="002F6A28">
              <w:t>Civic Drive, Filinvest Corporate City, Alabang 1781 Muntinlupa, Philippines</w:t>
            </w:r>
          </w:p>
          <w:p w:rsidR="00A85E9C" w:rsidRPr="002F6A28" w:rsidRDefault="003B0672" w:rsidP="00B16145">
            <w:pPr>
              <w:keepNext/>
              <w:keepLines/>
            </w:pPr>
            <w:r w:rsidRPr="002F6A28">
              <w:t xml:space="preserve">+632.857.1900 </w:t>
            </w:r>
            <w:proofErr w:type="spellStart"/>
            <w:r w:rsidRPr="002F6A28">
              <w:t>loc</w:t>
            </w:r>
            <w:proofErr w:type="spellEnd"/>
            <w:r w:rsidRPr="002F6A28">
              <w:t xml:space="preserve"> 8301</w:t>
            </w:r>
          </w:p>
          <w:p w:rsidR="003B0672" w:rsidRPr="002F6A28" w:rsidRDefault="009E6A58" w:rsidP="00B16145">
            <w:pPr>
              <w:keepNext/>
              <w:keepLines/>
            </w:pPr>
            <w:hyperlink r:id="rId10" w:history="1">
              <w:r w:rsidR="003B0672" w:rsidRPr="00C3242A">
                <w:rPr>
                  <w:rStyle w:val="Lienhypertexte"/>
                </w:rPr>
                <w:t>info@fda.gov.ph</w:t>
              </w:r>
            </w:hyperlink>
            <w:r w:rsidR="003B0672" w:rsidRPr="002F6A28">
              <w:t>/</w:t>
            </w:r>
            <w:hyperlink r:id="rId11" w:history="1">
              <w:r w:rsidR="003B0672" w:rsidRPr="00C3242A">
                <w:rPr>
                  <w:rStyle w:val="Lienhypertexte"/>
                </w:rPr>
                <w:t>eppayas@fda.gov.ph</w:t>
              </w:r>
            </w:hyperlink>
          </w:p>
          <w:p w:rsidR="00A85E9C" w:rsidRPr="002F6A28" w:rsidRDefault="009E6A58" w:rsidP="003B0672">
            <w:pPr>
              <w:keepNext/>
              <w:keepLines/>
            </w:pPr>
            <w:hyperlink r:id="rId12" w:history="1">
              <w:r w:rsidR="003B0672" w:rsidRPr="00C3242A">
                <w:rPr>
                  <w:rStyle w:val="Lienhypertexte"/>
                </w:rPr>
                <w:t>www.fda.gov.ph</w:t>
              </w:r>
            </w:hyperlink>
          </w:p>
          <w:p w:rsidR="003B0672" w:rsidRPr="003B0672" w:rsidRDefault="009E6A58" w:rsidP="00B16145">
            <w:pPr>
              <w:keepNext/>
              <w:keepLines/>
              <w:spacing w:before="120" w:after="120"/>
              <w:rPr>
                <w:color w:val="0000FF"/>
                <w:u w:val="single"/>
              </w:rPr>
            </w:pPr>
            <w:hyperlink r:id="rId13" w:history="1">
              <w:r w:rsidR="003B0672" w:rsidRPr="002F6A28">
                <w:rPr>
                  <w:color w:val="0000FF"/>
                  <w:u w:val="single"/>
                </w:rPr>
                <w:t>https://members.wto.org/crnattachments/2019/TBT/PHL/19_1879_00_e.pdf</w:t>
              </w:r>
            </w:hyperlink>
            <w:bookmarkEnd w:id="38"/>
          </w:p>
        </w:tc>
      </w:tr>
    </w:tbl>
    <w:p w:rsidR="00EE3A11" w:rsidRPr="002F6A28" w:rsidRDefault="00EE3A11" w:rsidP="002F6A28"/>
    <w:sectPr w:rsidR="00EE3A11" w:rsidRPr="002F6A28" w:rsidSect="001508F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16D" w:rsidRDefault="003B0672">
      <w:r>
        <w:separator/>
      </w:r>
    </w:p>
  </w:endnote>
  <w:endnote w:type="continuationSeparator" w:id="0">
    <w:p w:rsidR="008E016D" w:rsidRDefault="003B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1508FC" w:rsidRDefault="001508FC" w:rsidP="001508F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1508FC" w:rsidRDefault="001508FC" w:rsidP="001508F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3B0672">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16D" w:rsidRDefault="003B0672">
      <w:r>
        <w:separator/>
      </w:r>
    </w:p>
  </w:footnote>
  <w:footnote w:type="continuationSeparator" w:id="0">
    <w:p w:rsidR="008E016D" w:rsidRDefault="003B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FC" w:rsidRPr="001508FC" w:rsidRDefault="001508FC" w:rsidP="001508FC">
    <w:pPr>
      <w:pStyle w:val="En-tte"/>
      <w:pBdr>
        <w:bottom w:val="single" w:sz="4" w:space="1" w:color="auto"/>
      </w:pBdr>
      <w:tabs>
        <w:tab w:val="clear" w:pos="4513"/>
        <w:tab w:val="clear" w:pos="9027"/>
      </w:tabs>
      <w:jc w:val="center"/>
    </w:pPr>
    <w:r w:rsidRPr="001508FC">
      <w:t>G/TBT/N/</w:t>
    </w:r>
    <w:proofErr w:type="spellStart"/>
    <w:r w:rsidRPr="001508FC">
      <w:t>PHL</w:t>
    </w:r>
    <w:proofErr w:type="spellEnd"/>
    <w:r w:rsidRPr="001508FC">
      <w:t>/215</w:t>
    </w:r>
  </w:p>
  <w:p w:rsidR="001508FC" w:rsidRPr="001508FC" w:rsidRDefault="001508FC" w:rsidP="001508FC">
    <w:pPr>
      <w:pStyle w:val="En-tte"/>
      <w:pBdr>
        <w:bottom w:val="single" w:sz="4" w:space="1" w:color="auto"/>
      </w:pBdr>
      <w:tabs>
        <w:tab w:val="clear" w:pos="4513"/>
        <w:tab w:val="clear" w:pos="9027"/>
      </w:tabs>
      <w:jc w:val="center"/>
    </w:pPr>
  </w:p>
  <w:p w:rsidR="001508FC" w:rsidRPr="001508FC" w:rsidRDefault="001508FC" w:rsidP="001508FC">
    <w:pPr>
      <w:pStyle w:val="En-tte"/>
      <w:pBdr>
        <w:bottom w:val="single" w:sz="4" w:space="1" w:color="auto"/>
      </w:pBdr>
      <w:tabs>
        <w:tab w:val="clear" w:pos="4513"/>
        <w:tab w:val="clear" w:pos="9027"/>
      </w:tabs>
      <w:jc w:val="center"/>
    </w:pPr>
    <w:r w:rsidRPr="001508FC">
      <w:t xml:space="preserve">- </w:t>
    </w:r>
    <w:r w:rsidRPr="001508FC">
      <w:fldChar w:fldCharType="begin"/>
    </w:r>
    <w:r w:rsidRPr="001508FC">
      <w:instrText xml:space="preserve"> PAGE </w:instrText>
    </w:r>
    <w:r w:rsidRPr="001508FC">
      <w:fldChar w:fldCharType="separate"/>
    </w:r>
    <w:r w:rsidRPr="001508FC">
      <w:rPr>
        <w:noProof/>
      </w:rPr>
      <w:t>2</w:t>
    </w:r>
    <w:r w:rsidRPr="001508FC">
      <w:fldChar w:fldCharType="end"/>
    </w:r>
    <w:r w:rsidRPr="001508FC">
      <w:t xml:space="preserve"> -</w:t>
    </w:r>
  </w:p>
  <w:p w:rsidR="009239F7" w:rsidRPr="001508FC" w:rsidRDefault="009239F7" w:rsidP="001508F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FC" w:rsidRPr="001508FC" w:rsidRDefault="001508FC" w:rsidP="001508FC">
    <w:pPr>
      <w:pStyle w:val="En-tte"/>
      <w:pBdr>
        <w:bottom w:val="single" w:sz="4" w:space="1" w:color="auto"/>
      </w:pBdr>
      <w:tabs>
        <w:tab w:val="clear" w:pos="4513"/>
        <w:tab w:val="clear" w:pos="9027"/>
      </w:tabs>
      <w:jc w:val="center"/>
    </w:pPr>
    <w:r w:rsidRPr="001508FC">
      <w:t>G/TBT/N/</w:t>
    </w:r>
    <w:proofErr w:type="spellStart"/>
    <w:r w:rsidRPr="001508FC">
      <w:t>PHL</w:t>
    </w:r>
    <w:proofErr w:type="spellEnd"/>
    <w:r w:rsidRPr="001508FC">
      <w:t>/215</w:t>
    </w:r>
  </w:p>
  <w:p w:rsidR="001508FC" w:rsidRPr="001508FC" w:rsidRDefault="001508FC" w:rsidP="001508FC">
    <w:pPr>
      <w:pStyle w:val="En-tte"/>
      <w:pBdr>
        <w:bottom w:val="single" w:sz="4" w:space="1" w:color="auto"/>
      </w:pBdr>
      <w:tabs>
        <w:tab w:val="clear" w:pos="4513"/>
        <w:tab w:val="clear" w:pos="9027"/>
      </w:tabs>
      <w:jc w:val="center"/>
    </w:pPr>
  </w:p>
  <w:p w:rsidR="001508FC" w:rsidRPr="001508FC" w:rsidRDefault="001508FC" w:rsidP="001508FC">
    <w:pPr>
      <w:pStyle w:val="En-tte"/>
      <w:pBdr>
        <w:bottom w:val="single" w:sz="4" w:space="1" w:color="auto"/>
      </w:pBdr>
      <w:tabs>
        <w:tab w:val="clear" w:pos="4513"/>
        <w:tab w:val="clear" w:pos="9027"/>
      </w:tabs>
      <w:jc w:val="center"/>
    </w:pPr>
    <w:r w:rsidRPr="001508FC">
      <w:t xml:space="preserve">- </w:t>
    </w:r>
    <w:r w:rsidRPr="001508FC">
      <w:fldChar w:fldCharType="begin"/>
    </w:r>
    <w:r w:rsidRPr="001508FC">
      <w:instrText xml:space="preserve"> PAGE </w:instrText>
    </w:r>
    <w:r w:rsidRPr="001508FC">
      <w:fldChar w:fldCharType="separate"/>
    </w:r>
    <w:r w:rsidRPr="001508FC">
      <w:rPr>
        <w:noProof/>
      </w:rPr>
      <w:t>2</w:t>
    </w:r>
    <w:r w:rsidRPr="001508FC">
      <w:fldChar w:fldCharType="end"/>
    </w:r>
    <w:r w:rsidRPr="001508FC">
      <w:t xml:space="preserve"> -</w:t>
    </w:r>
  </w:p>
  <w:p w:rsidR="009239F7" w:rsidRPr="001508FC" w:rsidRDefault="009239F7" w:rsidP="001508F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5E9C"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39" w:name="bmkRestricted" w:colFirst="1" w:colLast="1"/>
        </w:p>
      </w:tc>
      <w:tc>
        <w:tcPr>
          <w:tcW w:w="5448" w:type="dxa"/>
          <w:gridSpan w:val="2"/>
          <w:shd w:val="clear" w:color="auto" w:fill="FFFFFF"/>
          <w:tcMar>
            <w:left w:w="108" w:type="dxa"/>
            <w:right w:w="108" w:type="dxa"/>
          </w:tcMar>
          <w:vAlign w:val="center"/>
        </w:tcPr>
        <w:p w:rsidR="00ED54E0" w:rsidRPr="009239F7" w:rsidRDefault="001508FC" w:rsidP="00B801E9">
          <w:pPr>
            <w:jc w:val="right"/>
            <w:rPr>
              <w:b/>
              <w:color w:val="FF0000"/>
              <w:szCs w:val="16"/>
            </w:rPr>
          </w:pPr>
          <w:r>
            <w:rPr>
              <w:b/>
              <w:color w:val="FF0000"/>
              <w:szCs w:val="16"/>
            </w:rPr>
            <w:t xml:space="preserve"> </w:t>
          </w:r>
        </w:p>
      </w:tc>
    </w:tr>
    <w:bookmarkEnd w:id="39"/>
    <w:tr w:rsidR="00A85E9C" w:rsidTr="008612A9">
      <w:trPr>
        <w:trHeight w:val="213"/>
        <w:jc w:val="center"/>
      </w:trPr>
      <w:tc>
        <w:tcPr>
          <w:tcW w:w="3794" w:type="dxa"/>
          <w:vMerge w:val="restart"/>
          <w:shd w:val="clear" w:color="auto" w:fill="FFFFFF"/>
          <w:tcMar>
            <w:left w:w="0" w:type="dxa"/>
            <w:right w:w="0" w:type="dxa"/>
          </w:tcMar>
        </w:tcPr>
        <w:p w:rsidR="00ED54E0" w:rsidRPr="009239F7" w:rsidRDefault="003265A4"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A85E9C"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1508FC" w:rsidRDefault="001508FC" w:rsidP="00B801E9">
          <w:pPr>
            <w:jc w:val="right"/>
            <w:rPr>
              <w:b/>
              <w:szCs w:val="16"/>
            </w:rPr>
          </w:pPr>
          <w:bookmarkStart w:id="40" w:name="bmkSymbols"/>
          <w:r>
            <w:rPr>
              <w:b/>
              <w:szCs w:val="16"/>
            </w:rPr>
            <w:t>G/TBT/N/</w:t>
          </w:r>
          <w:proofErr w:type="spellStart"/>
          <w:r>
            <w:rPr>
              <w:b/>
              <w:szCs w:val="16"/>
            </w:rPr>
            <w:t>PHL</w:t>
          </w:r>
          <w:proofErr w:type="spellEnd"/>
          <w:r>
            <w:rPr>
              <w:b/>
              <w:szCs w:val="16"/>
            </w:rPr>
            <w:t>/215</w:t>
          </w:r>
        </w:p>
        <w:bookmarkEnd w:id="40"/>
        <w:p w:rsidR="009239F7" w:rsidRPr="002F6A28" w:rsidRDefault="009239F7" w:rsidP="00B801E9">
          <w:pPr>
            <w:jc w:val="right"/>
            <w:rPr>
              <w:b/>
              <w:szCs w:val="16"/>
            </w:rPr>
          </w:pPr>
        </w:p>
      </w:tc>
    </w:tr>
    <w:tr w:rsidR="00A85E9C"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9E6A58" w:rsidP="00B801E9">
          <w:pPr>
            <w:jc w:val="right"/>
            <w:rPr>
              <w:szCs w:val="16"/>
            </w:rPr>
          </w:pPr>
          <w:bookmarkStart w:id="41" w:name="spsDateDistribution"/>
          <w:bookmarkStart w:id="42" w:name="bmkDate"/>
          <w:bookmarkEnd w:id="41"/>
          <w:bookmarkEnd w:id="42"/>
          <w:r>
            <w:rPr>
              <w:szCs w:val="16"/>
            </w:rPr>
            <w:t>3 April 2019</w:t>
          </w:r>
          <w:bookmarkStart w:id="43" w:name="_GoBack"/>
          <w:bookmarkEnd w:id="43"/>
        </w:p>
      </w:tc>
    </w:tr>
    <w:tr w:rsidR="00A85E9C"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B0672" w:rsidP="0097650D">
          <w:pPr>
            <w:jc w:val="left"/>
            <w:rPr>
              <w:b/>
            </w:rPr>
          </w:pPr>
          <w:bookmarkStart w:id="44" w:name="bmkSerial"/>
          <w:r w:rsidRPr="002F6A28">
            <w:rPr>
              <w:color w:val="FF0000"/>
              <w:szCs w:val="16"/>
            </w:rPr>
            <w:t>(</w:t>
          </w:r>
          <w:bookmarkStart w:id="45" w:name="spsSerialNumber"/>
          <w:bookmarkEnd w:id="45"/>
          <w:r w:rsidR="009E6A58">
            <w:rPr>
              <w:color w:val="FF0000"/>
              <w:szCs w:val="16"/>
            </w:rPr>
            <w:t>19-2120</w:t>
          </w:r>
          <w:r w:rsidRPr="002F6A28">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rsidR="00ED54E0" w:rsidRPr="009239F7" w:rsidRDefault="003B0672" w:rsidP="00B801E9">
          <w:pPr>
            <w:jc w:val="right"/>
            <w:rPr>
              <w:szCs w:val="16"/>
            </w:rPr>
          </w:pPr>
          <w:bookmarkStart w:id="4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6"/>
        </w:p>
      </w:tc>
    </w:tr>
    <w:tr w:rsidR="00A85E9C"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1508FC" w:rsidP="00B801E9">
          <w:pPr>
            <w:jc w:val="left"/>
            <w:rPr>
              <w:sz w:val="14"/>
              <w:szCs w:val="16"/>
            </w:rPr>
          </w:pPr>
          <w:bookmarkStart w:id="47" w:name="bmkCommittee"/>
          <w:r>
            <w:rPr>
              <w:b/>
            </w:rPr>
            <w:t>Committee on Technical Barriers to Trade</w:t>
          </w:r>
          <w:bookmarkEnd w:id="47"/>
        </w:p>
      </w:tc>
      <w:tc>
        <w:tcPr>
          <w:tcW w:w="3325" w:type="dxa"/>
          <w:tcBorders>
            <w:top w:val="single" w:sz="4" w:space="0" w:color="auto"/>
          </w:tcBorders>
          <w:tcMar>
            <w:top w:w="113" w:type="dxa"/>
            <w:left w:w="108" w:type="dxa"/>
            <w:bottom w:w="57" w:type="dxa"/>
            <w:right w:w="108" w:type="dxa"/>
          </w:tcMar>
          <w:vAlign w:val="center"/>
        </w:tcPr>
        <w:p w:rsidR="00ED54E0" w:rsidRPr="002F6A28" w:rsidRDefault="001508FC" w:rsidP="00B801E9">
          <w:pPr>
            <w:jc w:val="right"/>
            <w:rPr>
              <w:bCs/>
              <w:szCs w:val="18"/>
            </w:rPr>
          </w:pPr>
          <w:bookmarkStart w:id="48" w:name="bmkLanguage"/>
          <w:r>
            <w:rPr>
              <w:bCs/>
              <w:szCs w:val="18"/>
            </w:rPr>
            <w:t>Original: English</w:t>
          </w:r>
          <w:bookmarkEnd w:id="48"/>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EA1086">
      <w:start w:val="1"/>
      <w:numFmt w:val="decimal"/>
      <w:pStyle w:val="SummaryText"/>
      <w:lvlText w:val="%1."/>
      <w:lvlJc w:val="left"/>
      <w:pPr>
        <w:ind w:left="360" w:hanging="360"/>
      </w:pPr>
    </w:lvl>
    <w:lvl w:ilvl="1" w:tplc="4FEEE770" w:tentative="1">
      <w:start w:val="1"/>
      <w:numFmt w:val="lowerLetter"/>
      <w:lvlText w:val="%2."/>
      <w:lvlJc w:val="left"/>
      <w:pPr>
        <w:ind w:left="1080" w:hanging="360"/>
      </w:pPr>
    </w:lvl>
    <w:lvl w:ilvl="2" w:tplc="68BE9B46" w:tentative="1">
      <w:start w:val="1"/>
      <w:numFmt w:val="lowerRoman"/>
      <w:lvlText w:val="%3."/>
      <w:lvlJc w:val="right"/>
      <w:pPr>
        <w:ind w:left="1800" w:hanging="180"/>
      </w:pPr>
    </w:lvl>
    <w:lvl w:ilvl="3" w:tplc="4F58757A" w:tentative="1">
      <w:start w:val="1"/>
      <w:numFmt w:val="decimal"/>
      <w:lvlText w:val="%4."/>
      <w:lvlJc w:val="left"/>
      <w:pPr>
        <w:ind w:left="2520" w:hanging="360"/>
      </w:pPr>
    </w:lvl>
    <w:lvl w:ilvl="4" w:tplc="33105322" w:tentative="1">
      <w:start w:val="1"/>
      <w:numFmt w:val="lowerLetter"/>
      <w:lvlText w:val="%5."/>
      <w:lvlJc w:val="left"/>
      <w:pPr>
        <w:ind w:left="3240" w:hanging="360"/>
      </w:pPr>
    </w:lvl>
    <w:lvl w:ilvl="5" w:tplc="A17ED0A2" w:tentative="1">
      <w:start w:val="1"/>
      <w:numFmt w:val="lowerRoman"/>
      <w:lvlText w:val="%6."/>
      <w:lvlJc w:val="right"/>
      <w:pPr>
        <w:ind w:left="3960" w:hanging="180"/>
      </w:pPr>
    </w:lvl>
    <w:lvl w:ilvl="6" w:tplc="7CCC0A94" w:tentative="1">
      <w:start w:val="1"/>
      <w:numFmt w:val="decimal"/>
      <w:lvlText w:val="%7."/>
      <w:lvlJc w:val="left"/>
      <w:pPr>
        <w:ind w:left="4680" w:hanging="360"/>
      </w:pPr>
    </w:lvl>
    <w:lvl w:ilvl="7" w:tplc="25C661E4" w:tentative="1">
      <w:start w:val="1"/>
      <w:numFmt w:val="lowerLetter"/>
      <w:lvlText w:val="%8."/>
      <w:lvlJc w:val="left"/>
      <w:pPr>
        <w:ind w:left="5400" w:hanging="360"/>
      </w:pPr>
    </w:lvl>
    <w:lvl w:ilvl="8" w:tplc="BF9427B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F98F64E">
      <w:start w:val="1"/>
      <w:numFmt w:val="bullet"/>
      <w:lvlText w:val=""/>
      <w:lvlJc w:val="left"/>
      <w:pPr>
        <w:ind w:left="720" w:hanging="360"/>
      </w:pPr>
      <w:rPr>
        <w:rFonts w:ascii="Symbol" w:hAnsi="Symbol"/>
      </w:rPr>
    </w:lvl>
    <w:lvl w:ilvl="1" w:tplc="ACCA6B88">
      <w:start w:val="1"/>
      <w:numFmt w:val="bullet"/>
      <w:lvlText w:val="o"/>
      <w:lvlJc w:val="left"/>
      <w:pPr>
        <w:tabs>
          <w:tab w:val="num" w:pos="1440"/>
        </w:tabs>
        <w:ind w:left="1440" w:hanging="360"/>
      </w:pPr>
      <w:rPr>
        <w:rFonts w:ascii="Courier New" w:hAnsi="Courier New"/>
      </w:rPr>
    </w:lvl>
    <w:lvl w:ilvl="2" w:tplc="BA40DE44">
      <w:start w:val="1"/>
      <w:numFmt w:val="bullet"/>
      <w:lvlText w:val=""/>
      <w:lvlJc w:val="left"/>
      <w:pPr>
        <w:tabs>
          <w:tab w:val="num" w:pos="2160"/>
        </w:tabs>
        <w:ind w:left="2160" w:hanging="360"/>
      </w:pPr>
      <w:rPr>
        <w:rFonts w:ascii="Wingdings" w:hAnsi="Wingdings"/>
      </w:rPr>
    </w:lvl>
    <w:lvl w:ilvl="3" w:tplc="9528A278">
      <w:start w:val="1"/>
      <w:numFmt w:val="bullet"/>
      <w:lvlText w:val=""/>
      <w:lvlJc w:val="left"/>
      <w:pPr>
        <w:tabs>
          <w:tab w:val="num" w:pos="2880"/>
        </w:tabs>
        <w:ind w:left="2880" w:hanging="360"/>
      </w:pPr>
      <w:rPr>
        <w:rFonts w:ascii="Symbol" w:hAnsi="Symbol"/>
      </w:rPr>
    </w:lvl>
    <w:lvl w:ilvl="4" w:tplc="5594813A">
      <w:start w:val="1"/>
      <w:numFmt w:val="bullet"/>
      <w:lvlText w:val="o"/>
      <w:lvlJc w:val="left"/>
      <w:pPr>
        <w:tabs>
          <w:tab w:val="num" w:pos="3600"/>
        </w:tabs>
        <w:ind w:left="3600" w:hanging="360"/>
      </w:pPr>
      <w:rPr>
        <w:rFonts w:ascii="Courier New" w:hAnsi="Courier New"/>
      </w:rPr>
    </w:lvl>
    <w:lvl w:ilvl="5" w:tplc="1BCEFEE8">
      <w:start w:val="1"/>
      <w:numFmt w:val="bullet"/>
      <w:lvlText w:val=""/>
      <w:lvlJc w:val="left"/>
      <w:pPr>
        <w:tabs>
          <w:tab w:val="num" w:pos="4320"/>
        </w:tabs>
        <w:ind w:left="4320" w:hanging="360"/>
      </w:pPr>
      <w:rPr>
        <w:rFonts w:ascii="Wingdings" w:hAnsi="Wingdings"/>
      </w:rPr>
    </w:lvl>
    <w:lvl w:ilvl="6" w:tplc="D17E8842">
      <w:start w:val="1"/>
      <w:numFmt w:val="bullet"/>
      <w:lvlText w:val=""/>
      <w:lvlJc w:val="left"/>
      <w:pPr>
        <w:tabs>
          <w:tab w:val="num" w:pos="5040"/>
        </w:tabs>
        <w:ind w:left="5040" w:hanging="360"/>
      </w:pPr>
      <w:rPr>
        <w:rFonts w:ascii="Symbol" w:hAnsi="Symbol"/>
      </w:rPr>
    </w:lvl>
    <w:lvl w:ilvl="7" w:tplc="D9FAFA88">
      <w:start w:val="1"/>
      <w:numFmt w:val="bullet"/>
      <w:lvlText w:val="o"/>
      <w:lvlJc w:val="left"/>
      <w:pPr>
        <w:tabs>
          <w:tab w:val="num" w:pos="5760"/>
        </w:tabs>
        <w:ind w:left="5760" w:hanging="360"/>
      </w:pPr>
      <w:rPr>
        <w:rFonts w:ascii="Courier New" w:hAnsi="Courier New"/>
      </w:rPr>
    </w:lvl>
    <w:lvl w:ilvl="8" w:tplc="D12C10A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08FC"/>
    <w:rsid w:val="00155128"/>
    <w:rsid w:val="001621F4"/>
    <w:rsid w:val="00182B84"/>
    <w:rsid w:val="0018646B"/>
    <w:rsid w:val="00186B9C"/>
    <w:rsid w:val="001E291F"/>
    <w:rsid w:val="00204CC3"/>
    <w:rsid w:val="00233408"/>
    <w:rsid w:val="0024114D"/>
    <w:rsid w:val="00267723"/>
    <w:rsid w:val="00270637"/>
    <w:rsid w:val="0027067B"/>
    <w:rsid w:val="002D21E3"/>
    <w:rsid w:val="002E174F"/>
    <w:rsid w:val="002F6A28"/>
    <w:rsid w:val="00303D9D"/>
    <w:rsid w:val="00304AAE"/>
    <w:rsid w:val="003124EC"/>
    <w:rsid w:val="003265A4"/>
    <w:rsid w:val="003572B4"/>
    <w:rsid w:val="00381B96"/>
    <w:rsid w:val="00383F7A"/>
    <w:rsid w:val="00396AF4"/>
    <w:rsid w:val="003B0672"/>
    <w:rsid w:val="003B2BBF"/>
    <w:rsid w:val="0041584A"/>
    <w:rsid w:val="004423A4"/>
    <w:rsid w:val="00467032"/>
    <w:rsid w:val="0046754A"/>
    <w:rsid w:val="0048173D"/>
    <w:rsid w:val="004C27A4"/>
    <w:rsid w:val="004E51B2"/>
    <w:rsid w:val="004F203A"/>
    <w:rsid w:val="005104AF"/>
    <w:rsid w:val="005336B8"/>
    <w:rsid w:val="00533DC1"/>
    <w:rsid w:val="0054317D"/>
    <w:rsid w:val="00545ACF"/>
    <w:rsid w:val="00547B5F"/>
    <w:rsid w:val="00564605"/>
    <w:rsid w:val="00580F04"/>
    <w:rsid w:val="00581CC5"/>
    <w:rsid w:val="0058336F"/>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17105"/>
    <w:rsid w:val="00725DF8"/>
    <w:rsid w:val="00730370"/>
    <w:rsid w:val="00736D06"/>
    <w:rsid w:val="00745146"/>
    <w:rsid w:val="00756BA6"/>
    <w:rsid w:val="007577E3"/>
    <w:rsid w:val="00760DB3"/>
    <w:rsid w:val="007624E8"/>
    <w:rsid w:val="00783BDD"/>
    <w:rsid w:val="007B4DE8"/>
    <w:rsid w:val="007D20BB"/>
    <w:rsid w:val="007E1308"/>
    <w:rsid w:val="007E6507"/>
    <w:rsid w:val="007F2B8E"/>
    <w:rsid w:val="007F581A"/>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016D"/>
    <w:rsid w:val="008E372C"/>
    <w:rsid w:val="008E67DC"/>
    <w:rsid w:val="009239F7"/>
    <w:rsid w:val="00955D8A"/>
    <w:rsid w:val="00964F4F"/>
    <w:rsid w:val="0097650D"/>
    <w:rsid w:val="009811DD"/>
    <w:rsid w:val="00984DF3"/>
    <w:rsid w:val="00990E7D"/>
    <w:rsid w:val="009A6F54"/>
    <w:rsid w:val="009A72C6"/>
    <w:rsid w:val="009B6669"/>
    <w:rsid w:val="009D1FF8"/>
    <w:rsid w:val="009E6A58"/>
    <w:rsid w:val="009E75ED"/>
    <w:rsid w:val="009F1F2F"/>
    <w:rsid w:val="00A6057A"/>
    <w:rsid w:val="00A71BE1"/>
    <w:rsid w:val="00A74017"/>
    <w:rsid w:val="00A85E9C"/>
    <w:rsid w:val="00A9543B"/>
    <w:rsid w:val="00AA332C"/>
    <w:rsid w:val="00AA4D5C"/>
    <w:rsid w:val="00AA646C"/>
    <w:rsid w:val="00AB0E5D"/>
    <w:rsid w:val="00AC27F8"/>
    <w:rsid w:val="00AC6C6E"/>
    <w:rsid w:val="00AD4C72"/>
    <w:rsid w:val="00AE2AEE"/>
    <w:rsid w:val="00AE6CC8"/>
    <w:rsid w:val="00AF3330"/>
    <w:rsid w:val="00B00276"/>
    <w:rsid w:val="00B16145"/>
    <w:rsid w:val="00B230EC"/>
    <w:rsid w:val="00B52738"/>
    <w:rsid w:val="00B55105"/>
    <w:rsid w:val="00B56EDC"/>
    <w:rsid w:val="00B57342"/>
    <w:rsid w:val="00B6007A"/>
    <w:rsid w:val="00B7102C"/>
    <w:rsid w:val="00B74C63"/>
    <w:rsid w:val="00B801E9"/>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3CC"/>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2AED4"/>
  <w15:docId w15:val="{C64C0EDD-D1AE-4F8E-9219-756F385F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Mentionnonrsolue">
    <w:name w:val="Unresolved Mention"/>
    <w:basedOn w:val="Policepardfaut"/>
    <w:uiPriority w:val="99"/>
    <w:rsid w:val="00783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ppayas@fda.gov.ph" TargetMode="External"/><Relationship Id="rId13" Type="http://schemas.openxmlformats.org/officeDocument/2006/relationships/hyperlink" Target="https://members.wto.org/crnattachments/2019/TBT/PHL/19_1879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fda.gov.ph" TargetMode="External"/><Relationship Id="rId12" Type="http://schemas.openxmlformats.org/officeDocument/2006/relationships/hyperlink" Target="http://www.fda.gov.p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payas@fda.gov.p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fda.gov.p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da.gov.p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608</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Laverriere, Chantal</cp:lastModifiedBy>
  <cp:revision>11</cp:revision>
  <dcterms:created xsi:type="dcterms:W3CDTF">2019-04-02T11:36:00Z</dcterms:created>
  <dcterms:modified xsi:type="dcterms:W3CDTF">2019-04-03T12:57:00Z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G/TBT/N/PHL/215</vt:lpwstr>
  </property>
</Properties>
</file>