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B20AA" w:rsidP="002F6A28">
      <w:pPr>
        <w:pStyle w:val="Titre"/>
        <w:rPr>
          <w:caps w:val="0"/>
          <w:kern w:val="0"/>
        </w:rPr>
      </w:pPr>
      <w:r w:rsidRPr="002F6A28">
        <w:rPr>
          <w:caps w:val="0"/>
          <w:kern w:val="0"/>
        </w:rPr>
        <w:t>NOTIFICATION</w:t>
      </w:r>
    </w:p>
    <w:p w:rsidR="009239F7" w:rsidRPr="002F6A28" w:rsidRDefault="006B20A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F2361" w:rsidTr="0069259F">
        <w:tc>
          <w:tcPr>
            <w:tcW w:w="713" w:type="dxa"/>
            <w:tcBorders>
              <w:bottom w:val="single" w:sz="6" w:space="0" w:color="auto"/>
            </w:tcBorders>
            <w:shd w:val="clear" w:color="auto" w:fill="auto"/>
          </w:tcPr>
          <w:p w:rsidR="00F85C99" w:rsidRPr="002F6A28" w:rsidRDefault="006B20A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B20A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rsidR="00F85C99" w:rsidRPr="002F6A28" w:rsidRDefault="006B20A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F2361" w:rsidTr="0069259F">
        <w:tc>
          <w:tcPr>
            <w:tcW w:w="713" w:type="dxa"/>
            <w:tcBorders>
              <w:top w:val="single" w:sz="6" w:space="0" w:color="auto"/>
              <w:bottom w:val="single" w:sz="6" w:space="0" w:color="auto"/>
            </w:tcBorders>
            <w:shd w:val="clear" w:color="auto" w:fill="auto"/>
          </w:tcPr>
          <w:p w:rsidR="00F85C99" w:rsidRPr="002F6A28" w:rsidRDefault="006B20A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B20A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Health - Food and Drug Administration</w:t>
            </w:r>
            <w:bookmarkEnd w:id="5"/>
          </w:p>
          <w:p w:rsidR="00F85C99" w:rsidRPr="002F6A28" w:rsidRDefault="006B20A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p>
          <w:p w:rsidR="00DF2361" w:rsidRPr="00DC1642" w:rsidRDefault="006B20AA" w:rsidP="00AA646C">
            <w:pPr>
              <w:rPr>
                <w:lang w:val="es-ES"/>
              </w:rPr>
            </w:pPr>
            <w:proofErr w:type="spellStart"/>
            <w:r w:rsidRPr="00DC1642">
              <w:rPr>
                <w:lang w:val="es-ES"/>
              </w:rPr>
              <w:t>Engr</w:t>
            </w:r>
            <w:proofErr w:type="spellEnd"/>
            <w:r w:rsidRPr="00DC1642">
              <w:rPr>
                <w:lang w:val="es-ES"/>
              </w:rPr>
              <w:t xml:space="preserve">. </w:t>
            </w:r>
            <w:proofErr w:type="spellStart"/>
            <w:r w:rsidRPr="00DC1642">
              <w:rPr>
                <w:lang w:val="es-ES"/>
              </w:rPr>
              <w:t>Bayani</w:t>
            </w:r>
            <w:proofErr w:type="spellEnd"/>
            <w:r w:rsidRPr="00DC1642">
              <w:rPr>
                <w:lang w:val="es-ES"/>
              </w:rPr>
              <w:t xml:space="preserve"> C. San Juan, </w:t>
            </w:r>
            <w:proofErr w:type="gramStart"/>
            <w:r w:rsidRPr="00DC1642">
              <w:rPr>
                <w:lang w:val="es-ES"/>
              </w:rPr>
              <w:t>Director</w:t>
            </w:r>
            <w:proofErr w:type="gramEnd"/>
            <w:r w:rsidRPr="00DC1642">
              <w:rPr>
                <w:lang w:val="es-ES"/>
              </w:rPr>
              <w:t xml:space="preserve"> IV</w:t>
            </w:r>
          </w:p>
          <w:p w:rsidR="00DF2361" w:rsidRPr="002F6A28" w:rsidRDefault="006B20AA" w:rsidP="00AA646C">
            <w:proofErr w:type="spellStart"/>
            <w:r w:rsidRPr="002F6A28">
              <w:t>Center</w:t>
            </w:r>
            <w:proofErr w:type="spellEnd"/>
            <w:r w:rsidRPr="002F6A28">
              <w:t xml:space="preserve"> for Device Regulation, Radiation Health, and Research (</w:t>
            </w:r>
            <w:proofErr w:type="spellStart"/>
            <w:r w:rsidRPr="002F6A28">
              <w:t>CDRRHR</w:t>
            </w:r>
            <w:proofErr w:type="spellEnd"/>
            <w:r w:rsidRPr="002F6A28">
              <w:t>)</w:t>
            </w:r>
          </w:p>
          <w:p w:rsidR="00DF2361" w:rsidRPr="002F6A28" w:rsidRDefault="006B20AA" w:rsidP="00AA646C">
            <w:r w:rsidRPr="002F6A28">
              <w:t>Civic Drive, Filinvest Corporate City, Alabang 1781 Muntinlupa, Philippines</w:t>
            </w:r>
          </w:p>
          <w:p w:rsidR="00DF2361" w:rsidRPr="002F6A28" w:rsidRDefault="006B20AA" w:rsidP="00AA646C">
            <w:r w:rsidRPr="002F6A28">
              <w:t xml:space="preserve">+632.857.1900 </w:t>
            </w:r>
            <w:proofErr w:type="spellStart"/>
            <w:r w:rsidRPr="002F6A28">
              <w:t>loc</w:t>
            </w:r>
            <w:proofErr w:type="spellEnd"/>
            <w:r w:rsidRPr="002F6A28">
              <w:t xml:space="preserve"> 8301</w:t>
            </w:r>
          </w:p>
          <w:p w:rsidR="00BF706D" w:rsidRPr="002F6A28" w:rsidRDefault="00597EFE" w:rsidP="00AA646C">
            <w:hyperlink r:id="rId7" w:history="1">
              <w:r w:rsidR="00BF706D" w:rsidRPr="00221D80">
                <w:rPr>
                  <w:rStyle w:val="Lienhypertexte"/>
                </w:rPr>
                <w:t>info@fda.gov.ph</w:t>
              </w:r>
            </w:hyperlink>
            <w:r w:rsidR="006B20AA" w:rsidRPr="002F6A28">
              <w:t>/</w:t>
            </w:r>
            <w:hyperlink r:id="rId8" w:history="1">
              <w:r w:rsidR="00BF706D" w:rsidRPr="00221D80">
                <w:rPr>
                  <w:rStyle w:val="Lienhypertexte"/>
                </w:rPr>
                <w:t>eppayas@fda.gov.ph</w:t>
              </w:r>
            </w:hyperlink>
          </w:p>
          <w:p w:rsidR="00BF706D" w:rsidRPr="002F6A28" w:rsidRDefault="00597EFE" w:rsidP="00BF706D">
            <w:pPr>
              <w:spacing w:after="120"/>
            </w:pPr>
            <w:hyperlink r:id="rId9" w:history="1">
              <w:r w:rsidR="00BF706D" w:rsidRPr="00221D80">
                <w:rPr>
                  <w:rStyle w:val="Lienhypertexte"/>
                </w:rPr>
                <w:t>www.fda.gov.ph</w:t>
              </w:r>
            </w:hyperlink>
          </w:p>
        </w:tc>
      </w:tr>
      <w:tr w:rsidR="00DF2361" w:rsidTr="0069259F">
        <w:tc>
          <w:tcPr>
            <w:tcW w:w="713" w:type="dxa"/>
            <w:tcBorders>
              <w:top w:val="single" w:sz="6" w:space="0" w:color="auto"/>
              <w:bottom w:val="single" w:sz="6" w:space="0" w:color="auto"/>
            </w:tcBorders>
            <w:shd w:val="clear" w:color="auto" w:fill="auto"/>
          </w:tcPr>
          <w:p w:rsidR="00F85C99" w:rsidRPr="002F6A28" w:rsidRDefault="006B20A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B20AA" w:rsidP="002F6A28">
            <w:pPr>
              <w:spacing w:before="120" w:after="12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proofErr w:type="gramStart"/>
            <w:r w:rsidRPr="002F6A28">
              <w:rPr>
                <w:b/>
              </w:rPr>
              <w:t>[</w:t>
            </w:r>
            <w:r w:rsidR="00DC1642">
              <w:rPr>
                <w:b/>
              </w:rPr>
              <w:t xml:space="preserve"> </w:t>
            </w:r>
            <w:r w:rsidR="00DC1642" w:rsidRPr="002F6A28">
              <w:rPr>
                <w:b/>
              </w:rPr>
              <w:t> </w:t>
            </w:r>
            <w:r w:rsidRPr="002F6A28">
              <w:rPr>
                <w:b/>
              </w:rPr>
              <w:t>]</w:t>
            </w:r>
            <w:proofErr w:type="gramEnd"/>
            <w:r w:rsidRPr="002F6A28">
              <w:rPr>
                <w:b/>
              </w:rPr>
              <w:t xml:space="preserve">, </w:t>
            </w:r>
            <w:bookmarkStart w:id="10" w:name="X_TBT_Reg_3C"/>
            <w:r w:rsidRPr="002F6A28">
              <w:rPr>
                <w:b/>
              </w:rPr>
              <w:t>5.6.2</w:t>
            </w:r>
            <w:bookmarkEnd w:id="10"/>
            <w:r w:rsidRPr="002F6A28">
              <w:rPr>
                <w:b/>
              </w:rPr>
              <w:t xml:space="preserve"> [</w:t>
            </w:r>
            <w:r w:rsidR="00DC1642">
              <w:rPr>
                <w:b/>
              </w:rPr>
              <w:t xml:space="preserve"> </w:t>
            </w:r>
            <w:r w:rsidR="00DC1642" w:rsidRPr="002F6A28">
              <w:rPr>
                <w:b/>
              </w:rPr>
              <w:t> </w:t>
            </w:r>
            <w:r w:rsidRPr="002F6A28">
              <w:rPr>
                <w:b/>
              </w:rPr>
              <w:t xml:space="preserve">], </w:t>
            </w:r>
            <w:bookmarkStart w:id="11" w:name="X_TBT_Reg_3D"/>
            <w:r w:rsidRPr="002F6A28">
              <w:rPr>
                <w:b/>
              </w:rPr>
              <w:t>5.7.1</w:t>
            </w:r>
            <w:bookmarkEnd w:id="11"/>
            <w:r w:rsidRPr="002F6A28">
              <w:rPr>
                <w:b/>
              </w:rPr>
              <w:t xml:space="preserve"> [</w:t>
            </w:r>
            <w:r w:rsidR="00DC1642">
              <w:rPr>
                <w:b/>
              </w:rPr>
              <w:t xml:space="preserve"> </w:t>
            </w:r>
            <w:r w:rsidR="00DC1642" w:rsidRPr="002F6A28">
              <w:rPr>
                <w:b/>
              </w:rPr>
              <w:t> </w:t>
            </w:r>
            <w:r w:rsidRPr="002F6A28">
              <w:rPr>
                <w:b/>
              </w:rPr>
              <w:t xml:space="preserve">], </w:t>
            </w:r>
            <w:bookmarkStart w:id="12" w:name="X_TBT_Reg_3E"/>
            <w:r w:rsidRPr="002F6A28">
              <w:rPr>
                <w:b/>
              </w:rPr>
              <w:t>other</w:t>
            </w:r>
            <w:bookmarkEnd w:id="12"/>
            <w:r w:rsidR="00FF5C69">
              <w:rPr>
                <w:b/>
              </w:rPr>
              <w:t>:</w:t>
            </w:r>
            <w:r w:rsidR="0058336F">
              <w:rPr>
                <w:b/>
              </w:rPr>
              <w:t xml:space="preserve"> </w:t>
            </w:r>
            <w:bookmarkStart w:id="13" w:name="tbt3e"/>
            <w:bookmarkEnd w:id="13"/>
          </w:p>
        </w:tc>
      </w:tr>
      <w:tr w:rsidR="00DF2361" w:rsidTr="0069259F">
        <w:tc>
          <w:tcPr>
            <w:tcW w:w="713" w:type="dxa"/>
            <w:tcBorders>
              <w:top w:val="single" w:sz="6" w:space="0" w:color="auto"/>
              <w:bottom w:val="single" w:sz="6" w:space="0" w:color="auto"/>
            </w:tcBorders>
            <w:shd w:val="clear" w:color="auto" w:fill="auto"/>
          </w:tcPr>
          <w:p w:rsidR="00F85C99" w:rsidRPr="002F6A28" w:rsidRDefault="006B20A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B20AA" w:rsidP="002F6A28">
            <w:pPr>
              <w:spacing w:before="120" w:after="120"/>
            </w:pPr>
            <w:bookmarkStart w:id="14"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4"/>
            <w:r w:rsidRPr="002F6A28">
              <w:rPr>
                <w:b/>
              </w:rPr>
              <w:t>:</w:t>
            </w:r>
            <w:r w:rsidR="00EE3A11" w:rsidRPr="00C379C8">
              <w:t xml:space="preserve"> </w:t>
            </w:r>
            <w:bookmarkStart w:id="15" w:name="sps3a"/>
            <w:r w:rsidRPr="002F6A28">
              <w:rPr>
                <w:bCs/>
              </w:rPr>
              <w:t>Installations and equipment for waste disposal and treatment (ICS 13.030.40)</w:t>
            </w:r>
            <w:bookmarkEnd w:id="15"/>
          </w:p>
        </w:tc>
      </w:tr>
      <w:tr w:rsidR="00DF2361" w:rsidTr="0069259F">
        <w:tc>
          <w:tcPr>
            <w:tcW w:w="713" w:type="dxa"/>
            <w:tcBorders>
              <w:top w:val="single" w:sz="6" w:space="0" w:color="auto"/>
              <w:bottom w:val="single" w:sz="6" w:space="0" w:color="auto"/>
            </w:tcBorders>
            <w:shd w:val="clear" w:color="auto" w:fill="auto"/>
          </w:tcPr>
          <w:p w:rsidR="00F85C99" w:rsidRPr="002F6A28" w:rsidRDefault="006B20A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B20AA" w:rsidP="002F6A28">
            <w:pPr>
              <w:spacing w:before="120" w:after="120"/>
            </w:pPr>
            <w:bookmarkStart w:id="16" w:name="X_TBT_Reg_5A"/>
            <w:r w:rsidRPr="002F6A28">
              <w:rPr>
                <w:b/>
              </w:rPr>
              <w:t>Title, number of pages and language(s) of the notified document</w:t>
            </w:r>
            <w:bookmarkEnd w:id="16"/>
            <w:r w:rsidRPr="002F6A28">
              <w:rPr>
                <w:b/>
              </w:rPr>
              <w:t>:</w:t>
            </w:r>
            <w:r w:rsidR="00EE3A11" w:rsidRPr="00C379C8">
              <w:t xml:space="preserve"> </w:t>
            </w:r>
            <w:bookmarkStart w:id="17" w:name="sps5a"/>
            <w:r w:rsidRPr="002F6A28">
              <w:t>Draft Administrative Order No. __</w:t>
            </w:r>
            <w:proofErr w:type="gramStart"/>
            <w:r w:rsidRPr="002F6A28">
              <w:t>_ :</w:t>
            </w:r>
            <w:proofErr w:type="gramEnd"/>
            <w:r w:rsidRPr="002F6A28">
              <w:t xml:space="preserve"> Guidelines on the Issuance of an Authorization for Equipment or Devices Used for Treating Sharps, Pathological and Infectious Waste (14</w:t>
            </w:r>
            <w:r w:rsidR="005E3914">
              <w:t> </w:t>
            </w:r>
            <w:r w:rsidRPr="002F6A28">
              <w:t>page(s), in English)</w:t>
            </w:r>
            <w:bookmarkStart w:id="18" w:name="sps5c"/>
            <w:bookmarkStart w:id="19" w:name="sps5b"/>
            <w:bookmarkEnd w:id="17"/>
            <w:bookmarkEnd w:id="18"/>
            <w:bookmarkEnd w:id="19"/>
          </w:p>
        </w:tc>
      </w:tr>
      <w:tr w:rsidR="00DF2361" w:rsidTr="0069259F">
        <w:tc>
          <w:tcPr>
            <w:tcW w:w="713" w:type="dxa"/>
            <w:tcBorders>
              <w:top w:val="single" w:sz="6" w:space="0" w:color="auto"/>
              <w:bottom w:val="single" w:sz="6" w:space="0" w:color="auto"/>
            </w:tcBorders>
            <w:shd w:val="clear" w:color="auto" w:fill="auto"/>
          </w:tcPr>
          <w:p w:rsidR="00F85C99" w:rsidRPr="002F6A28" w:rsidRDefault="006B20A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B20AA" w:rsidP="002F6A28">
            <w:pPr>
              <w:spacing w:before="120" w:after="120"/>
              <w:rPr>
                <w:b/>
              </w:rPr>
            </w:pPr>
            <w:bookmarkStart w:id="20" w:name="X_TBT_Reg_6A"/>
            <w:r w:rsidRPr="002F6A28">
              <w:rPr>
                <w:b/>
              </w:rPr>
              <w:t>Description of content</w:t>
            </w:r>
            <w:bookmarkEnd w:id="20"/>
            <w:r w:rsidRPr="002F6A28">
              <w:rPr>
                <w:b/>
              </w:rPr>
              <w:t>:</w:t>
            </w:r>
            <w:r w:rsidR="00FE448B" w:rsidRPr="00C379C8">
              <w:t xml:space="preserve"> </w:t>
            </w:r>
            <w:r w:rsidRPr="002F6A28">
              <w:t>The Department of Environment and Natural Resources (</w:t>
            </w:r>
            <w:proofErr w:type="spellStart"/>
            <w:r w:rsidRPr="002F6A28">
              <w:t>DENR</w:t>
            </w:r>
            <w:proofErr w:type="spellEnd"/>
            <w:r w:rsidRPr="002F6A28">
              <w:t>) and the Department of Health (</w:t>
            </w:r>
            <w:proofErr w:type="spellStart"/>
            <w:r w:rsidRPr="002F6A28">
              <w:t>DOH</w:t>
            </w:r>
            <w:proofErr w:type="spellEnd"/>
            <w:r w:rsidRPr="002F6A28">
              <w:t xml:space="preserve">) issued Joint </w:t>
            </w:r>
            <w:proofErr w:type="spellStart"/>
            <w:r w:rsidRPr="002F6A28">
              <w:t>DENR-DOH</w:t>
            </w:r>
            <w:proofErr w:type="spellEnd"/>
            <w:r w:rsidRPr="002F6A28">
              <w:t xml:space="preserve"> Administrative Order No.</w:t>
            </w:r>
            <w:r w:rsidR="008D6995">
              <w:t> </w:t>
            </w:r>
            <w:r w:rsidRPr="002F6A28">
              <w:t>02 series of 2005 to provide guidelines on the management of health care wastes relative to the Implementing Rules and Regulations (IRR) of Chapter XVIII - "Refuse Disposal" of the Code on Sanitation of the Philippines (P.D. 856).</w:t>
            </w:r>
          </w:p>
          <w:p w:rsidR="00DF2361" w:rsidRPr="002F6A28" w:rsidRDefault="006B20AA" w:rsidP="002F6A28">
            <w:pPr>
              <w:spacing w:before="120" w:after="120"/>
            </w:pPr>
            <w:r w:rsidRPr="002F6A28">
              <w:t xml:space="preserve">The Joint </w:t>
            </w:r>
            <w:proofErr w:type="spellStart"/>
            <w:r w:rsidRPr="002F6A28">
              <w:t>DENR-DOH</w:t>
            </w:r>
            <w:proofErr w:type="spellEnd"/>
            <w:r w:rsidRPr="002F6A28">
              <w:t xml:space="preserve"> Administrative Order mandated the </w:t>
            </w:r>
            <w:proofErr w:type="spellStart"/>
            <w:r w:rsidRPr="002F6A28">
              <w:t>DOH</w:t>
            </w:r>
            <w:proofErr w:type="spellEnd"/>
            <w:r w:rsidRPr="002F6A28">
              <w:t xml:space="preserve"> to require all health care waste treatment, storage, disposal (</w:t>
            </w:r>
            <w:proofErr w:type="spellStart"/>
            <w:r w:rsidRPr="002F6A28">
              <w:t>TSD</w:t>
            </w:r>
            <w:proofErr w:type="spellEnd"/>
            <w:r w:rsidRPr="002F6A28">
              <w:t xml:space="preserve">) facility operators and health care waste generators with on-site waste treatment facilities to use </w:t>
            </w:r>
            <w:proofErr w:type="spellStart"/>
            <w:r w:rsidRPr="002F6A28">
              <w:t>DOH</w:t>
            </w:r>
            <w:proofErr w:type="spellEnd"/>
            <w:r w:rsidRPr="002F6A28">
              <w:t xml:space="preserve"> registered equipment or devices used for treatment of health care wastes.</w:t>
            </w:r>
          </w:p>
          <w:p w:rsidR="00DF2361" w:rsidRPr="002F6A28" w:rsidRDefault="006B20AA" w:rsidP="002F6A28">
            <w:pPr>
              <w:spacing w:before="120" w:after="120"/>
            </w:pPr>
            <w:r w:rsidRPr="002F6A28">
              <w:t>On 14 March 2007, Administrative Order No. 2007-0014 was issued by the Secretary of Health through the Bureau of Health Devices and Technology (</w:t>
            </w:r>
            <w:proofErr w:type="spellStart"/>
            <w:r w:rsidRPr="002F6A28">
              <w:t>BHDT</w:t>
            </w:r>
            <w:proofErr w:type="spellEnd"/>
            <w:r w:rsidRPr="002F6A28">
              <w:t>) to provide guidelines on the rules and regulations with respect to registration, monitoring and evaluation of devices and equipment used in the treatment of sharps, pathological and infectious wastes.</w:t>
            </w:r>
          </w:p>
          <w:p w:rsidR="00DF2361" w:rsidRPr="002F6A28" w:rsidRDefault="006B20AA" w:rsidP="002F6A28">
            <w:pPr>
              <w:spacing w:before="120" w:after="120"/>
            </w:pPr>
            <w:r w:rsidRPr="002F6A28">
              <w:t>Republic Act 9711, otherwise known as the "Food and Drug Administration (FDA) Act of 2009" through its IRR enhance, strengthen and rationalize the regulatory systems for establishment and products under its jurisdictions.</w:t>
            </w:r>
          </w:p>
          <w:p w:rsidR="00DF2361" w:rsidRPr="002F6A28" w:rsidRDefault="006B20AA" w:rsidP="002F6A28">
            <w:pPr>
              <w:spacing w:before="120" w:after="120"/>
            </w:pPr>
            <w:r w:rsidRPr="002F6A28">
              <w:lastRenderedPageBreak/>
              <w:t>To effectively implement the above provisions on the regulations of all devices and equipment used in the treatment of sharps, pathological and infectious wastes in the Philippines, the FDA-</w:t>
            </w:r>
            <w:proofErr w:type="spellStart"/>
            <w:r w:rsidRPr="002F6A28">
              <w:t>Center</w:t>
            </w:r>
            <w:proofErr w:type="spellEnd"/>
            <w:r w:rsidRPr="002F6A28">
              <w:t xml:space="preserve"> for Device Regulation, Radiation Health, and Research (</w:t>
            </w:r>
            <w:proofErr w:type="spellStart"/>
            <w:r w:rsidRPr="002F6A28">
              <w:t>CDRRHR</w:t>
            </w:r>
            <w:proofErr w:type="spellEnd"/>
            <w:r w:rsidRPr="002F6A28">
              <w:t xml:space="preserve">) (formerly </w:t>
            </w:r>
            <w:proofErr w:type="spellStart"/>
            <w:r w:rsidRPr="002F6A28">
              <w:t>BHDT</w:t>
            </w:r>
            <w:proofErr w:type="spellEnd"/>
            <w:r w:rsidRPr="002F6A28">
              <w:t>) hereby issues this Administrative Order.</w:t>
            </w:r>
          </w:p>
        </w:tc>
      </w:tr>
      <w:tr w:rsidR="00DF2361" w:rsidTr="0069259F">
        <w:tc>
          <w:tcPr>
            <w:tcW w:w="713" w:type="dxa"/>
            <w:tcBorders>
              <w:top w:val="single" w:sz="6" w:space="0" w:color="auto"/>
              <w:bottom w:val="single" w:sz="6" w:space="0" w:color="auto"/>
            </w:tcBorders>
            <w:shd w:val="clear" w:color="auto" w:fill="auto"/>
          </w:tcPr>
          <w:p w:rsidR="00F85C99" w:rsidRPr="002F6A28" w:rsidRDefault="006B20AA"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6B20AA" w:rsidRDefault="006B20AA" w:rsidP="002F6A28">
            <w:pPr>
              <w:spacing w:before="120" w:after="120"/>
            </w:pPr>
            <w:bookmarkStart w:id="21" w:name="X_TBT_Reg_7A"/>
            <w:r w:rsidRPr="002F6A28">
              <w:rPr>
                <w:b/>
              </w:rPr>
              <w:t>Objective and rationale, including the nature of urgent problems where applicable</w:t>
            </w:r>
            <w:bookmarkEnd w:id="21"/>
            <w:r w:rsidRPr="002F6A28">
              <w:rPr>
                <w:b/>
              </w:rPr>
              <w:t>:</w:t>
            </w:r>
            <w:r w:rsidR="00EE3A11" w:rsidRPr="00C379C8">
              <w:t xml:space="preserve"> </w:t>
            </w:r>
            <w:bookmarkStart w:id="22" w:name="sps7f"/>
            <w:r w:rsidRPr="002F6A28">
              <w:t>This Administrative Order aims to enhance and strengthen the existing rules and regulations of the FDA-</w:t>
            </w:r>
            <w:proofErr w:type="spellStart"/>
            <w:r w:rsidRPr="002F6A28">
              <w:t>CDRRHR</w:t>
            </w:r>
            <w:proofErr w:type="spellEnd"/>
            <w:r w:rsidRPr="002F6A28">
              <w:t xml:space="preserve"> relative to safety, efficacy and quality of equipment or devices used for treating sharps, pathological and infectious wastes. </w:t>
            </w:r>
          </w:p>
          <w:p w:rsidR="00F85C99" w:rsidRPr="002F6A28" w:rsidRDefault="006B20AA" w:rsidP="002F6A28">
            <w:pPr>
              <w:spacing w:before="120" w:after="120"/>
              <w:rPr>
                <w:b/>
              </w:rPr>
            </w:pPr>
            <w:r w:rsidRPr="002F6A28">
              <w:t>Protection of human health or safety</w:t>
            </w:r>
            <w:bookmarkEnd w:id="22"/>
          </w:p>
        </w:tc>
      </w:tr>
      <w:tr w:rsidR="00DF2361" w:rsidTr="0069259F">
        <w:tc>
          <w:tcPr>
            <w:tcW w:w="713" w:type="dxa"/>
            <w:tcBorders>
              <w:top w:val="single" w:sz="6" w:space="0" w:color="auto"/>
              <w:bottom w:val="single" w:sz="6" w:space="0" w:color="auto"/>
            </w:tcBorders>
            <w:shd w:val="clear" w:color="auto" w:fill="auto"/>
          </w:tcPr>
          <w:p w:rsidR="00F85C99" w:rsidRPr="002F6A28" w:rsidRDefault="006B20A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B20AA" w:rsidP="009E75ED">
            <w:pPr>
              <w:spacing w:before="120" w:after="120"/>
            </w:pPr>
            <w:bookmarkStart w:id="23" w:name="X_TBT_Reg_8A"/>
            <w:r w:rsidRPr="002F6A28">
              <w:rPr>
                <w:b/>
              </w:rPr>
              <w:t>Relevant documents</w:t>
            </w:r>
            <w:bookmarkEnd w:id="23"/>
            <w:r w:rsidRPr="002F6A28">
              <w:rPr>
                <w:b/>
              </w:rPr>
              <w:t>:</w:t>
            </w:r>
            <w:r w:rsidR="00EE3A11" w:rsidRPr="002F6A28">
              <w:t xml:space="preserve"> </w:t>
            </w:r>
          </w:p>
          <w:p w:rsidR="00DF2361" w:rsidRPr="002F6A28" w:rsidRDefault="006B20AA" w:rsidP="009E75ED">
            <w:pPr>
              <w:numPr>
                <w:ilvl w:val="0"/>
                <w:numId w:val="16"/>
              </w:numPr>
              <w:spacing w:before="120" w:after="120"/>
              <w:jc w:val="left"/>
              <w:rPr>
                <w:bCs/>
              </w:rPr>
            </w:pPr>
            <w:r w:rsidRPr="002F6A28">
              <w:rPr>
                <w:bCs/>
              </w:rPr>
              <w:t>P.D. 856 - Code on Sanitation of the Philippines</w:t>
            </w:r>
          </w:p>
          <w:p w:rsidR="00DF2361" w:rsidRPr="002F6A28" w:rsidRDefault="006B20AA" w:rsidP="009E75ED">
            <w:pPr>
              <w:numPr>
                <w:ilvl w:val="0"/>
                <w:numId w:val="16"/>
              </w:numPr>
              <w:spacing w:before="120" w:after="120"/>
              <w:jc w:val="left"/>
              <w:rPr>
                <w:bCs/>
              </w:rPr>
            </w:pPr>
            <w:r w:rsidRPr="002F6A28">
              <w:rPr>
                <w:bCs/>
              </w:rPr>
              <w:t>Administrative Order No. 2007-0014</w:t>
            </w:r>
          </w:p>
          <w:p w:rsidR="00DF2361" w:rsidRPr="002F6A28" w:rsidRDefault="006B20AA" w:rsidP="009E75ED">
            <w:pPr>
              <w:numPr>
                <w:ilvl w:val="0"/>
                <w:numId w:val="16"/>
              </w:numPr>
              <w:spacing w:before="120" w:after="120"/>
              <w:jc w:val="left"/>
              <w:rPr>
                <w:bCs/>
              </w:rPr>
            </w:pPr>
            <w:r w:rsidRPr="002F6A28">
              <w:rPr>
                <w:bCs/>
              </w:rPr>
              <w:t>Republic Act 9711 - Food and Drug Administration Act of 2009</w:t>
            </w:r>
          </w:p>
        </w:tc>
      </w:tr>
      <w:tr w:rsidR="00DF2361" w:rsidTr="00AE6CC8">
        <w:trPr>
          <w:cantSplit/>
        </w:trPr>
        <w:tc>
          <w:tcPr>
            <w:tcW w:w="713" w:type="dxa"/>
            <w:tcBorders>
              <w:top w:val="single" w:sz="6" w:space="0" w:color="auto"/>
              <w:bottom w:val="single" w:sz="6" w:space="0" w:color="auto"/>
            </w:tcBorders>
            <w:shd w:val="clear" w:color="auto" w:fill="auto"/>
          </w:tcPr>
          <w:p w:rsidR="00EE3A11" w:rsidRPr="002F6A28" w:rsidRDefault="006B20A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B20AA" w:rsidP="008953C4">
            <w:pPr>
              <w:spacing w:before="120" w:after="120"/>
            </w:pPr>
            <w:bookmarkStart w:id="24" w:name="X_TBT_Reg_9A"/>
            <w:r w:rsidRPr="002F6A28">
              <w:rPr>
                <w:b/>
              </w:rPr>
              <w:t>Proposed date of adoption</w:t>
            </w:r>
            <w:bookmarkEnd w:id="24"/>
            <w:r w:rsidRPr="002F6A28">
              <w:rPr>
                <w:b/>
              </w:rPr>
              <w:t>:</w:t>
            </w:r>
            <w:r w:rsidRPr="00C379C8">
              <w:t xml:space="preserve"> </w:t>
            </w:r>
            <w:bookmarkStart w:id="25" w:name="sps10a"/>
            <w:bookmarkStart w:id="26" w:name="sps10b"/>
            <w:bookmarkEnd w:id="25"/>
            <w:r w:rsidRPr="002F6A28">
              <w:t>This Order shall take effect 15 days after its publication in a national newspaper of general circulation.</w:t>
            </w:r>
            <w:bookmarkEnd w:id="26"/>
          </w:p>
          <w:p w:rsidR="00EE3A11" w:rsidRPr="002F6A28" w:rsidRDefault="006B20AA" w:rsidP="008953C4">
            <w:pPr>
              <w:spacing w:after="120"/>
            </w:pPr>
            <w:bookmarkStart w:id="27" w:name="X_TBT_Reg_9B"/>
            <w:r w:rsidRPr="002F6A28">
              <w:rPr>
                <w:b/>
              </w:rPr>
              <w:t>Proposed date of entry into force</w:t>
            </w:r>
            <w:bookmarkEnd w:id="27"/>
            <w:r w:rsidRPr="002F6A28">
              <w:rPr>
                <w:b/>
              </w:rPr>
              <w:t>:</w:t>
            </w:r>
            <w:r w:rsidRPr="00C379C8">
              <w:t xml:space="preserve"> </w:t>
            </w:r>
            <w:bookmarkStart w:id="28" w:name="sps11a"/>
            <w:bookmarkStart w:id="29" w:name="sps11b"/>
            <w:bookmarkEnd w:id="28"/>
            <w:r w:rsidRPr="002F6A28">
              <w:t>This Order shall take effect 15 days after its publication in a national newspaper of general circulation.</w:t>
            </w:r>
            <w:bookmarkEnd w:id="29"/>
          </w:p>
        </w:tc>
      </w:tr>
      <w:tr w:rsidR="00DF2361" w:rsidTr="0069259F">
        <w:tc>
          <w:tcPr>
            <w:tcW w:w="713" w:type="dxa"/>
            <w:tcBorders>
              <w:top w:val="single" w:sz="6" w:space="0" w:color="auto"/>
              <w:bottom w:val="single" w:sz="6" w:space="0" w:color="auto"/>
            </w:tcBorders>
            <w:shd w:val="clear" w:color="auto" w:fill="auto"/>
          </w:tcPr>
          <w:p w:rsidR="00F85C99" w:rsidRPr="002F6A28" w:rsidRDefault="006B20A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B20AA" w:rsidP="002F6A28">
            <w:pPr>
              <w:spacing w:before="120" w:after="120"/>
            </w:pPr>
            <w:bookmarkStart w:id="30" w:name="X_TBT_Reg_10A"/>
            <w:r w:rsidRPr="002F6A28">
              <w:rPr>
                <w:b/>
              </w:rPr>
              <w:t>Final date for comments</w:t>
            </w:r>
            <w:bookmarkEnd w:id="30"/>
            <w:r w:rsidRPr="002F6A28">
              <w:rPr>
                <w:b/>
              </w:rPr>
              <w:t>:</w:t>
            </w:r>
            <w:r w:rsidR="00EE3A11" w:rsidRPr="00C379C8">
              <w:t xml:space="preserve"> </w:t>
            </w:r>
            <w:bookmarkStart w:id="31" w:name="sps12a"/>
            <w:r w:rsidRPr="002F6A28">
              <w:rPr>
                <w:bCs/>
              </w:rPr>
              <w:t>60 days from notification</w:t>
            </w:r>
            <w:bookmarkEnd w:id="31"/>
          </w:p>
        </w:tc>
      </w:tr>
      <w:tr w:rsidR="00DF2361" w:rsidTr="0069259F">
        <w:tc>
          <w:tcPr>
            <w:tcW w:w="713" w:type="dxa"/>
            <w:tcBorders>
              <w:top w:val="single" w:sz="6" w:space="0" w:color="auto"/>
            </w:tcBorders>
            <w:shd w:val="clear" w:color="auto" w:fill="auto"/>
          </w:tcPr>
          <w:p w:rsidR="00F85C99" w:rsidRPr="002F6A28" w:rsidRDefault="006B20A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B20AA" w:rsidP="00B16145">
            <w:pPr>
              <w:keepNext/>
              <w:keepLines/>
              <w:spacing w:before="120" w:after="120"/>
            </w:pPr>
            <w:bookmarkStart w:id="32"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2"/>
            <w:r w:rsidRPr="002F6A28">
              <w:rPr>
                <w:b/>
              </w:rPr>
              <w:t xml:space="preserve"> </w:t>
            </w:r>
            <w:r w:rsidR="00533DC1" w:rsidRPr="002F6A28">
              <w:rPr>
                <w:b/>
              </w:rPr>
              <w:t>[</w:t>
            </w:r>
            <w:bookmarkStart w:id="33" w:name="sps13b"/>
            <w:r w:rsidRPr="002F6A28">
              <w:rPr>
                <w:b/>
              </w:rPr>
              <w:t>X</w:t>
            </w:r>
            <w:bookmarkEnd w:id="33"/>
            <w:r w:rsidRPr="002F6A28">
              <w:rPr>
                <w:b/>
              </w:rPr>
              <w:t xml:space="preserve">] </w:t>
            </w:r>
            <w:bookmarkStart w:id="34"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4"/>
            <w:r w:rsidRPr="002F6A28">
              <w:rPr>
                <w:b/>
              </w:rPr>
              <w:t>:</w:t>
            </w:r>
            <w:r w:rsidR="00EE3A11" w:rsidRPr="00C379C8">
              <w:rPr>
                <w:b/>
              </w:rPr>
              <w:t xml:space="preserve"> </w:t>
            </w:r>
            <w:bookmarkStart w:id="35" w:name="sps13c"/>
          </w:p>
          <w:p w:rsidR="00DF2361" w:rsidRPr="002F6A28" w:rsidRDefault="006B20AA" w:rsidP="00B16145">
            <w:pPr>
              <w:keepNext/>
              <w:keepLines/>
            </w:pPr>
            <w:proofErr w:type="spellStart"/>
            <w:r w:rsidRPr="002F6A28">
              <w:t>Center</w:t>
            </w:r>
            <w:proofErr w:type="spellEnd"/>
            <w:r w:rsidRPr="002F6A28">
              <w:t xml:space="preserve"> for Device Regulation, Radiation Health, and Research (</w:t>
            </w:r>
            <w:proofErr w:type="spellStart"/>
            <w:r w:rsidRPr="002F6A28">
              <w:t>CDRRHR</w:t>
            </w:r>
            <w:proofErr w:type="spellEnd"/>
            <w:r w:rsidRPr="002F6A28">
              <w:t>)</w:t>
            </w:r>
          </w:p>
          <w:p w:rsidR="00DF2361" w:rsidRPr="002F6A28" w:rsidRDefault="006B20AA" w:rsidP="00B16145">
            <w:pPr>
              <w:keepNext/>
              <w:keepLines/>
            </w:pPr>
            <w:r w:rsidRPr="002F6A28">
              <w:t>Civic Drive, Filinvest Corporate City, Alabang 1781 Muntinlupa, Philippines</w:t>
            </w:r>
          </w:p>
          <w:p w:rsidR="00DF2361" w:rsidRPr="002F6A28" w:rsidRDefault="006B20AA" w:rsidP="00B16145">
            <w:pPr>
              <w:keepNext/>
              <w:keepLines/>
            </w:pPr>
            <w:r w:rsidRPr="002F6A28">
              <w:t xml:space="preserve">+632.857.1900 </w:t>
            </w:r>
            <w:proofErr w:type="spellStart"/>
            <w:r w:rsidRPr="002F6A28">
              <w:t>loc</w:t>
            </w:r>
            <w:proofErr w:type="spellEnd"/>
            <w:r w:rsidRPr="002F6A28">
              <w:t xml:space="preserve"> 8301</w:t>
            </w:r>
          </w:p>
          <w:p w:rsidR="006B20AA" w:rsidRPr="002F6A28" w:rsidRDefault="00597EFE" w:rsidP="00B16145">
            <w:pPr>
              <w:keepNext/>
              <w:keepLines/>
            </w:pPr>
            <w:hyperlink r:id="rId10" w:history="1">
              <w:r w:rsidR="006B20AA" w:rsidRPr="00221D80">
                <w:rPr>
                  <w:rStyle w:val="Lienhypertexte"/>
                </w:rPr>
                <w:t>info@fda.gov.ph</w:t>
              </w:r>
            </w:hyperlink>
            <w:r w:rsidR="006B20AA" w:rsidRPr="002F6A28">
              <w:t>/</w:t>
            </w:r>
            <w:hyperlink r:id="rId11" w:history="1">
              <w:r w:rsidR="006B20AA" w:rsidRPr="00221D80">
                <w:rPr>
                  <w:rStyle w:val="Lienhypertexte"/>
                </w:rPr>
                <w:t>eppayas@fda.gov.ph</w:t>
              </w:r>
            </w:hyperlink>
          </w:p>
          <w:p w:rsidR="00DF2361" w:rsidRPr="002F6A28" w:rsidRDefault="00597EFE" w:rsidP="006B20AA">
            <w:pPr>
              <w:keepNext/>
              <w:keepLines/>
            </w:pPr>
            <w:hyperlink r:id="rId12" w:history="1">
              <w:r w:rsidR="006B20AA" w:rsidRPr="00221D80">
                <w:rPr>
                  <w:rStyle w:val="Lienhypertexte"/>
                </w:rPr>
                <w:t>www.fda.gov.ph</w:t>
              </w:r>
            </w:hyperlink>
          </w:p>
          <w:p w:rsidR="006B20AA" w:rsidRPr="006B20AA" w:rsidRDefault="00597EFE" w:rsidP="00B16145">
            <w:pPr>
              <w:keepNext/>
              <w:keepLines/>
              <w:spacing w:before="120" w:after="120"/>
              <w:rPr>
                <w:color w:val="0000FF"/>
                <w:u w:val="single"/>
              </w:rPr>
            </w:pPr>
            <w:hyperlink r:id="rId13" w:history="1">
              <w:r w:rsidR="006B20AA" w:rsidRPr="002F6A28">
                <w:rPr>
                  <w:color w:val="0000FF"/>
                  <w:u w:val="single"/>
                </w:rPr>
                <w:t>https://members.wto.org/crnattachments/2019/TBT/PHL/19_1878_00_e.pdf</w:t>
              </w:r>
            </w:hyperlink>
            <w:bookmarkEnd w:id="35"/>
          </w:p>
        </w:tc>
      </w:tr>
    </w:tbl>
    <w:p w:rsidR="00EE3A11" w:rsidRPr="002F6A28" w:rsidRDefault="00EE3A11" w:rsidP="002F6A28"/>
    <w:sectPr w:rsidR="00EE3A11" w:rsidRPr="002F6A28" w:rsidSect="00DC1642">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04" w:rsidRDefault="006B20AA">
      <w:r>
        <w:separator/>
      </w:r>
    </w:p>
  </w:endnote>
  <w:endnote w:type="continuationSeparator" w:id="0">
    <w:p w:rsidR="00766704" w:rsidRDefault="006B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C1642" w:rsidRDefault="00DC1642" w:rsidP="00DC164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C1642" w:rsidRDefault="00DC1642" w:rsidP="00DC164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B20A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04" w:rsidRDefault="006B20AA">
      <w:r>
        <w:separator/>
      </w:r>
    </w:p>
  </w:footnote>
  <w:footnote w:type="continuationSeparator" w:id="0">
    <w:p w:rsidR="00766704" w:rsidRDefault="006B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642" w:rsidRPr="00DC1642" w:rsidRDefault="00DC1642" w:rsidP="00DC1642">
    <w:pPr>
      <w:pStyle w:val="En-tte"/>
      <w:pBdr>
        <w:bottom w:val="single" w:sz="4" w:space="1" w:color="auto"/>
      </w:pBdr>
      <w:tabs>
        <w:tab w:val="clear" w:pos="4513"/>
        <w:tab w:val="clear" w:pos="9027"/>
      </w:tabs>
      <w:jc w:val="center"/>
    </w:pPr>
    <w:r w:rsidRPr="00DC1642">
      <w:t>G/TBT/N/</w:t>
    </w:r>
    <w:proofErr w:type="spellStart"/>
    <w:r w:rsidRPr="00DC1642">
      <w:t>PHL</w:t>
    </w:r>
    <w:proofErr w:type="spellEnd"/>
    <w:r w:rsidRPr="00DC1642">
      <w:t>/214</w:t>
    </w:r>
  </w:p>
  <w:p w:rsidR="00DC1642" w:rsidRPr="00DC1642" w:rsidRDefault="00DC1642" w:rsidP="00DC1642">
    <w:pPr>
      <w:pStyle w:val="En-tte"/>
      <w:pBdr>
        <w:bottom w:val="single" w:sz="4" w:space="1" w:color="auto"/>
      </w:pBdr>
      <w:tabs>
        <w:tab w:val="clear" w:pos="4513"/>
        <w:tab w:val="clear" w:pos="9027"/>
      </w:tabs>
      <w:jc w:val="center"/>
    </w:pPr>
  </w:p>
  <w:p w:rsidR="00DC1642" w:rsidRPr="00DC1642" w:rsidRDefault="00DC1642" w:rsidP="00DC1642">
    <w:pPr>
      <w:pStyle w:val="En-tte"/>
      <w:pBdr>
        <w:bottom w:val="single" w:sz="4" w:space="1" w:color="auto"/>
      </w:pBdr>
      <w:tabs>
        <w:tab w:val="clear" w:pos="4513"/>
        <w:tab w:val="clear" w:pos="9027"/>
      </w:tabs>
      <w:jc w:val="center"/>
    </w:pPr>
    <w:r w:rsidRPr="00DC1642">
      <w:t xml:space="preserve">- </w:t>
    </w:r>
    <w:r w:rsidRPr="00DC1642">
      <w:fldChar w:fldCharType="begin"/>
    </w:r>
    <w:r w:rsidRPr="00DC1642">
      <w:instrText xml:space="preserve"> PAGE </w:instrText>
    </w:r>
    <w:r w:rsidRPr="00DC1642">
      <w:fldChar w:fldCharType="separate"/>
    </w:r>
    <w:r w:rsidRPr="00DC1642">
      <w:rPr>
        <w:noProof/>
      </w:rPr>
      <w:t>2</w:t>
    </w:r>
    <w:r w:rsidRPr="00DC1642">
      <w:fldChar w:fldCharType="end"/>
    </w:r>
    <w:r w:rsidRPr="00DC1642">
      <w:t xml:space="preserve"> -</w:t>
    </w:r>
  </w:p>
  <w:p w:rsidR="009239F7" w:rsidRPr="00DC1642" w:rsidRDefault="009239F7" w:rsidP="00DC164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642" w:rsidRPr="00DC1642" w:rsidRDefault="00DC1642" w:rsidP="00DC1642">
    <w:pPr>
      <w:pStyle w:val="En-tte"/>
      <w:pBdr>
        <w:bottom w:val="single" w:sz="4" w:space="1" w:color="auto"/>
      </w:pBdr>
      <w:tabs>
        <w:tab w:val="clear" w:pos="4513"/>
        <w:tab w:val="clear" w:pos="9027"/>
      </w:tabs>
      <w:jc w:val="center"/>
    </w:pPr>
    <w:r w:rsidRPr="00DC1642">
      <w:t>G/TBT/N/</w:t>
    </w:r>
    <w:proofErr w:type="spellStart"/>
    <w:r w:rsidRPr="00DC1642">
      <w:t>PHL</w:t>
    </w:r>
    <w:proofErr w:type="spellEnd"/>
    <w:r w:rsidRPr="00DC1642">
      <w:t>/214</w:t>
    </w:r>
  </w:p>
  <w:p w:rsidR="00DC1642" w:rsidRPr="00DC1642" w:rsidRDefault="00DC1642" w:rsidP="00DC1642">
    <w:pPr>
      <w:pStyle w:val="En-tte"/>
      <w:pBdr>
        <w:bottom w:val="single" w:sz="4" w:space="1" w:color="auto"/>
      </w:pBdr>
      <w:tabs>
        <w:tab w:val="clear" w:pos="4513"/>
        <w:tab w:val="clear" w:pos="9027"/>
      </w:tabs>
      <w:jc w:val="center"/>
    </w:pPr>
  </w:p>
  <w:p w:rsidR="00DC1642" w:rsidRPr="00DC1642" w:rsidRDefault="00DC1642" w:rsidP="00DC1642">
    <w:pPr>
      <w:pStyle w:val="En-tte"/>
      <w:pBdr>
        <w:bottom w:val="single" w:sz="4" w:space="1" w:color="auto"/>
      </w:pBdr>
      <w:tabs>
        <w:tab w:val="clear" w:pos="4513"/>
        <w:tab w:val="clear" w:pos="9027"/>
      </w:tabs>
      <w:jc w:val="center"/>
    </w:pPr>
    <w:r w:rsidRPr="00DC1642">
      <w:t xml:space="preserve">- </w:t>
    </w:r>
    <w:r w:rsidRPr="00DC1642">
      <w:fldChar w:fldCharType="begin"/>
    </w:r>
    <w:r w:rsidRPr="00DC1642">
      <w:instrText xml:space="preserve"> PAGE </w:instrText>
    </w:r>
    <w:r w:rsidRPr="00DC1642">
      <w:fldChar w:fldCharType="separate"/>
    </w:r>
    <w:r w:rsidRPr="00DC1642">
      <w:rPr>
        <w:noProof/>
      </w:rPr>
      <w:t>2</w:t>
    </w:r>
    <w:r w:rsidRPr="00DC1642">
      <w:fldChar w:fldCharType="end"/>
    </w:r>
    <w:r w:rsidRPr="00DC1642">
      <w:t xml:space="preserve"> -</w:t>
    </w:r>
  </w:p>
  <w:p w:rsidR="009239F7" w:rsidRPr="00DC1642" w:rsidRDefault="009239F7" w:rsidP="00DC164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236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6" w:name="bmkRestricted" w:colFirst="1" w:colLast="1"/>
        </w:p>
      </w:tc>
      <w:tc>
        <w:tcPr>
          <w:tcW w:w="5448" w:type="dxa"/>
          <w:gridSpan w:val="2"/>
          <w:shd w:val="clear" w:color="auto" w:fill="FFFFFF"/>
          <w:tcMar>
            <w:left w:w="108" w:type="dxa"/>
            <w:right w:w="108" w:type="dxa"/>
          </w:tcMar>
          <w:vAlign w:val="center"/>
        </w:tcPr>
        <w:p w:rsidR="00ED54E0" w:rsidRPr="009239F7" w:rsidRDefault="00DC1642" w:rsidP="00B801E9">
          <w:pPr>
            <w:jc w:val="right"/>
            <w:rPr>
              <w:b/>
              <w:color w:val="FF0000"/>
              <w:szCs w:val="16"/>
            </w:rPr>
          </w:pPr>
          <w:r>
            <w:rPr>
              <w:b/>
              <w:color w:val="FF0000"/>
              <w:szCs w:val="16"/>
            </w:rPr>
            <w:t xml:space="preserve"> </w:t>
          </w:r>
        </w:p>
      </w:tc>
    </w:tr>
    <w:bookmarkEnd w:id="36"/>
    <w:tr w:rsidR="00DF2361" w:rsidTr="008612A9">
      <w:trPr>
        <w:trHeight w:val="213"/>
        <w:jc w:val="center"/>
      </w:trPr>
      <w:tc>
        <w:tcPr>
          <w:tcW w:w="3794" w:type="dxa"/>
          <w:vMerge w:val="restart"/>
          <w:shd w:val="clear" w:color="auto" w:fill="FFFFFF"/>
          <w:tcMar>
            <w:left w:w="0" w:type="dxa"/>
            <w:right w:w="0" w:type="dxa"/>
          </w:tcMar>
        </w:tcPr>
        <w:p w:rsidR="00ED54E0" w:rsidRPr="009239F7" w:rsidRDefault="008061A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F236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DC1642" w:rsidRDefault="00DC1642" w:rsidP="00B801E9">
          <w:pPr>
            <w:jc w:val="right"/>
            <w:rPr>
              <w:b/>
              <w:szCs w:val="16"/>
            </w:rPr>
          </w:pPr>
          <w:bookmarkStart w:id="37" w:name="bmkSymbols"/>
          <w:r>
            <w:rPr>
              <w:b/>
              <w:szCs w:val="16"/>
            </w:rPr>
            <w:t>G/TBT/N/</w:t>
          </w:r>
          <w:proofErr w:type="spellStart"/>
          <w:r>
            <w:rPr>
              <w:b/>
              <w:szCs w:val="16"/>
            </w:rPr>
            <w:t>PHL</w:t>
          </w:r>
          <w:proofErr w:type="spellEnd"/>
          <w:r>
            <w:rPr>
              <w:b/>
              <w:szCs w:val="16"/>
            </w:rPr>
            <w:t>/214</w:t>
          </w:r>
        </w:p>
        <w:bookmarkEnd w:id="37"/>
        <w:p w:rsidR="009239F7" w:rsidRPr="002F6A28" w:rsidRDefault="009239F7" w:rsidP="00B801E9">
          <w:pPr>
            <w:jc w:val="right"/>
            <w:rPr>
              <w:b/>
              <w:szCs w:val="16"/>
            </w:rPr>
          </w:pPr>
        </w:p>
      </w:tc>
    </w:tr>
    <w:tr w:rsidR="00DF236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97EFE" w:rsidP="00B801E9">
          <w:pPr>
            <w:jc w:val="right"/>
            <w:rPr>
              <w:szCs w:val="16"/>
            </w:rPr>
          </w:pPr>
          <w:bookmarkStart w:id="38" w:name="spsDateDistribution"/>
          <w:bookmarkStart w:id="39" w:name="bmkDate"/>
          <w:bookmarkEnd w:id="38"/>
          <w:bookmarkEnd w:id="39"/>
          <w:r>
            <w:rPr>
              <w:szCs w:val="16"/>
            </w:rPr>
            <w:t>3 April 2019</w:t>
          </w:r>
          <w:bookmarkStart w:id="40" w:name="_GoBack"/>
          <w:bookmarkEnd w:id="40"/>
        </w:p>
      </w:tc>
    </w:tr>
    <w:tr w:rsidR="00DF236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B20AA" w:rsidP="0097650D">
          <w:pPr>
            <w:jc w:val="left"/>
            <w:rPr>
              <w:b/>
            </w:rPr>
          </w:pPr>
          <w:bookmarkStart w:id="41" w:name="bmkSerial"/>
          <w:r w:rsidRPr="002F6A28">
            <w:rPr>
              <w:color w:val="FF0000"/>
              <w:szCs w:val="16"/>
            </w:rPr>
            <w:t>(</w:t>
          </w:r>
          <w:bookmarkStart w:id="42" w:name="spsSerialNumber"/>
          <w:bookmarkEnd w:id="42"/>
          <w:r w:rsidR="00597EFE">
            <w:rPr>
              <w:color w:val="FF0000"/>
              <w:szCs w:val="16"/>
            </w:rPr>
            <w:t>19-2118</w:t>
          </w:r>
          <w:r w:rsidRPr="002F6A28">
            <w:rPr>
              <w:color w:val="FF0000"/>
              <w:szCs w:val="16"/>
            </w:rPr>
            <w:t>)</w:t>
          </w:r>
          <w:bookmarkEnd w:id="41"/>
        </w:p>
      </w:tc>
      <w:tc>
        <w:tcPr>
          <w:tcW w:w="3325" w:type="dxa"/>
          <w:tcBorders>
            <w:bottom w:val="single" w:sz="4" w:space="0" w:color="auto"/>
          </w:tcBorders>
          <w:tcMar>
            <w:top w:w="0" w:type="dxa"/>
            <w:left w:w="108" w:type="dxa"/>
            <w:bottom w:w="57" w:type="dxa"/>
            <w:right w:w="108" w:type="dxa"/>
          </w:tcMar>
          <w:vAlign w:val="bottom"/>
        </w:tcPr>
        <w:p w:rsidR="00ED54E0" w:rsidRPr="009239F7" w:rsidRDefault="006B20AA" w:rsidP="00B801E9">
          <w:pPr>
            <w:jc w:val="right"/>
            <w:rPr>
              <w:szCs w:val="16"/>
            </w:rPr>
          </w:pPr>
          <w:bookmarkStart w:id="4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3"/>
        </w:p>
      </w:tc>
    </w:tr>
    <w:tr w:rsidR="00DF236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C1642" w:rsidP="00B801E9">
          <w:pPr>
            <w:jc w:val="left"/>
            <w:rPr>
              <w:sz w:val="14"/>
              <w:szCs w:val="16"/>
            </w:rPr>
          </w:pPr>
          <w:bookmarkStart w:id="44" w:name="bmkCommittee"/>
          <w:r>
            <w:rPr>
              <w:b/>
            </w:rPr>
            <w:t>Committee on Technical Barriers to Trade</w:t>
          </w:r>
          <w:bookmarkEnd w:id="44"/>
        </w:p>
      </w:tc>
      <w:tc>
        <w:tcPr>
          <w:tcW w:w="3325" w:type="dxa"/>
          <w:tcBorders>
            <w:top w:val="single" w:sz="4" w:space="0" w:color="auto"/>
          </w:tcBorders>
          <w:tcMar>
            <w:top w:w="113" w:type="dxa"/>
            <w:left w:w="108" w:type="dxa"/>
            <w:bottom w:w="57" w:type="dxa"/>
            <w:right w:w="108" w:type="dxa"/>
          </w:tcMar>
          <w:vAlign w:val="center"/>
        </w:tcPr>
        <w:p w:rsidR="00ED54E0" w:rsidRPr="002F6A28" w:rsidRDefault="00DC1642" w:rsidP="00B801E9">
          <w:pPr>
            <w:jc w:val="right"/>
            <w:rPr>
              <w:bCs/>
              <w:szCs w:val="18"/>
            </w:rPr>
          </w:pPr>
          <w:bookmarkStart w:id="45" w:name="bmkLanguage"/>
          <w:r>
            <w:rPr>
              <w:bCs/>
              <w:szCs w:val="18"/>
            </w:rPr>
            <w:t>Original: English</w:t>
          </w:r>
          <w:bookmarkEnd w:id="45"/>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343A36">
      <w:start w:val="1"/>
      <w:numFmt w:val="decimal"/>
      <w:pStyle w:val="SummaryText"/>
      <w:lvlText w:val="%1."/>
      <w:lvlJc w:val="left"/>
      <w:pPr>
        <w:ind w:left="360" w:hanging="360"/>
      </w:pPr>
    </w:lvl>
    <w:lvl w:ilvl="1" w:tplc="9814E590" w:tentative="1">
      <w:start w:val="1"/>
      <w:numFmt w:val="lowerLetter"/>
      <w:lvlText w:val="%2."/>
      <w:lvlJc w:val="left"/>
      <w:pPr>
        <w:ind w:left="1080" w:hanging="360"/>
      </w:pPr>
    </w:lvl>
    <w:lvl w:ilvl="2" w:tplc="6AF0E262" w:tentative="1">
      <w:start w:val="1"/>
      <w:numFmt w:val="lowerRoman"/>
      <w:lvlText w:val="%3."/>
      <w:lvlJc w:val="right"/>
      <w:pPr>
        <w:ind w:left="1800" w:hanging="180"/>
      </w:pPr>
    </w:lvl>
    <w:lvl w:ilvl="3" w:tplc="733AD4E2" w:tentative="1">
      <w:start w:val="1"/>
      <w:numFmt w:val="decimal"/>
      <w:lvlText w:val="%4."/>
      <w:lvlJc w:val="left"/>
      <w:pPr>
        <w:ind w:left="2520" w:hanging="360"/>
      </w:pPr>
    </w:lvl>
    <w:lvl w:ilvl="4" w:tplc="9104A9AE" w:tentative="1">
      <w:start w:val="1"/>
      <w:numFmt w:val="lowerLetter"/>
      <w:lvlText w:val="%5."/>
      <w:lvlJc w:val="left"/>
      <w:pPr>
        <w:ind w:left="3240" w:hanging="360"/>
      </w:pPr>
    </w:lvl>
    <w:lvl w:ilvl="5" w:tplc="1C1A714A" w:tentative="1">
      <w:start w:val="1"/>
      <w:numFmt w:val="lowerRoman"/>
      <w:lvlText w:val="%6."/>
      <w:lvlJc w:val="right"/>
      <w:pPr>
        <w:ind w:left="3960" w:hanging="180"/>
      </w:pPr>
    </w:lvl>
    <w:lvl w:ilvl="6" w:tplc="8AD21EBC" w:tentative="1">
      <w:start w:val="1"/>
      <w:numFmt w:val="decimal"/>
      <w:lvlText w:val="%7."/>
      <w:lvlJc w:val="left"/>
      <w:pPr>
        <w:ind w:left="4680" w:hanging="360"/>
      </w:pPr>
    </w:lvl>
    <w:lvl w:ilvl="7" w:tplc="8422A16C" w:tentative="1">
      <w:start w:val="1"/>
      <w:numFmt w:val="lowerLetter"/>
      <w:lvlText w:val="%8."/>
      <w:lvlJc w:val="left"/>
      <w:pPr>
        <w:ind w:left="5400" w:hanging="360"/>
      </w:pPr>
    </w:lvl>
    <w:lvl w:ilvl="8" w:tplc="4D10E29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268E726">
      <w:start w:val="1"/>
      <w:numFmt w:val="bullet"/>
      <w:lvlText w:val=""/>
      <w:lvlJc w:val="left"/>
      <w:pPr>
        <w:ind w:left="720" w:hanging="360"/>
      </w:pPr>
      <w:rPr>
        <w:rFonts w:ascii="Symbol" w:hAnsi="Symbol"/>
      </w:rPr>
    </w:lvl>
    <w:lvl w:ilvl="1" w:tplc="48B4B072">
      <w:start w:val="1"/>
      <w:numFmt w:val="bullet"/>
      <w:lvlText w:val="o"/>
      <w:lvlJc w:val="left"/>
      <w:pPr>
        <w:tabs>
          <w:tab w:val="num" w:pos="1440"/>
        </w:tabs>
        <w:ind w:left="1440" w:hanging="360"/>
      </w:pPr>
      <w:rPr>
        <w:rFonts w:ascii="Courier New" w:hAnsi="Courier New"/>
      </w:rPr>
    </w:lvl>
    <w:lvl w:ilvl="2" w:tplc="BC64CD86">
      <w:start w:val="1"/>
      <w:numFmt w:val="bullet"/>
      <w:lvlText w:val=""/>
      <w:lvlJc w:val="left"/>
      <w:pPr>
        <w:tabs>
          <w:tab w:val="num" w:pos="2160"/>
        </w:tabs>
        <w:ind w:left="2160" w:hanging="360"/>
      </w:pPr>
      <w:rPr>
        <w:rFonts w:ascii="Wingdings" w:hAnsi="Wingdings"/>
      </w:rPr>
    </w:lvl>
    <w:lvl w:ilvl="3" w:tplc="0BE2277A">
      <w:start w:val="1"/>
      <w:numFmt w:val="bullet"/>
      <w:lvlText w:val=""/>
      <w:lvlJc w:val="left"/>
      <w:pPr>
        <w:tabs>
          <w:tab w:val="num" w:pos="2880"/>
        </w:tabs>
        <w:ind w:left="2880" w:hanging="360"/>
      </w:pPr>
      <w:rPr>
        <w:rFonts w:ascii="Symbol" w:hAnsi="Symbol"/>
      </w:rPr>
    </w:lvl>
    <w:lvl w:ilvl="4" w:tplc="E8662626">
      <w:start w:val="1"/>
      <w:numFmt w:val="bullet"/>
      <w:lvlText w:val="o"/>
      <w:lvlJc w:val="left"/>
      <w:pPr>
        <w:tabs>
          <w:tab w:val="num" w:pos="3600"/>
        </w:tabs>
        <w:ind w:left="3600" w:hanging="360"/>
      </w:pPr>
      <w:rPr>
        <w:rFonts w:ascii="Courier New" w:hAnsi="Courier New"/>
      </w:rPr>
    </w:lvl>
    <w:lvl w:ilvl="5" w:tplc="F750625C">
      <w:start w:val="1"/>
      <w:numFmt w:val="bullet"/>
      <w:lvlText w:val=""/>
      <w:lvlJc w:val="left"/>
      <w:pPr>
        <w:tabs>
          <w:tab w:val="num" w:pos="4320"/>
        </w:tabs>
        <w:ind w:left="4320" w:hanging="360"/>
      </w:pPr>
      <w:rPr>
        <w:rFonts w:ascii="Wingdings" w:hAnsi="Wingdings"/>
      </w:rPr>
    </w:lvl>
    <w:lvl w:ilvl="6" w:tplc="F6D03F14">
      <w:start w:val="1"/>
      <w:numFmt w:val="bullet"/>
      <w:lvlText w:val=""/>
      <w:lvlJc w:val="left"/>
      <w:pPr>
        <w:tabs>
          <w:tab w:val="num" w:pos="5040"/>
        </w:tabs>
        <w:ind w:left="5040" w:hanging="360"/>
      </w:pPr>
      <w:rPr>
        <w:rFonts w:ascii="Symbol" w:hAnsi="Symbol"/>
      </w:rPr>
    </w:lvl>
    <w:lvl w:ilvl="7" w:tplc="49327CF4">
      <w:start w:val="1"/>
      <w:numFmt w:val="bullet"/>
      <w:lvlText w:val="o"/>
      <w:lvlJc w:val="left"/>
      <w:pPr>
        <w:tabs>
          <w:tab w:val="num" w:pos="5760"/>
        </w:tabs>
        <w:ind w:left="5760" w:hanging="360"/>
      </w:pPr>
      <w:rPr>
        <w:rFonts w:ascii="Courier New" w:hAnsi="Courier New"/>
      </w:rPr>
    </w:lvl>
    <w:lvl w:ilvl="8" w:tplc="289EA78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97EFE"/>
    <w:rsid w:val="005B04B9"/>
    <w:rsid w:val="005B68C7"/>
    <w:rsid w:val="005B7054"/>
    <w:rsid w:val="005C5BA4"/>
    <w:rsid w:val="005D5981"/>
    <w:rsid w:val="005E3914"/>
    <w:rsid w:val="005F30CB"/>
    <w:rsid w:val="005F6444"/>
    <w:rsid w:val="00612644"/>
    <w:rsid w:val="00623F9F"/>
    <w:rsid w:val="00643C1F"/>
    <w:rsid w:val="00655881"/>
    <w:rsid w:val="0066043C"/>
    <w:rsid w:val="006607BC"/>
    <w:rsid w:val="00674CCD"/>
    <w:rsid w:val="00682D50"/>
    <w:rsid w:val="006845EE"/>
    <w:rsid w:val="0069259F"/>
    <w:rsid w:val="006A72C8"/>
    <w:rsid w:val="006B20AA"/>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6704"/>
    <w:rsid w:val="007B4DE8"/>
    <w:rsid w:val="007D20BB"/>
    <w:rsid w:val="007E1308"/>
    <w:rsid w:val="007E6507"/>
    <w:rsid w:val="007F2B8E"/>
    <w:rsid w:val="008055FB"/>
    <w:rsid w:val="008061A5"/>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995"/>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BF706D"/>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C1642"/>
    <w:rsid w:val="00DE50DB"/>
    <w:rsid w:val="00DF2361"/>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1CDD"/>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05C9D"/>
  <w15:docId w15:val="{DFCE2E1D-3AD7-409E-B941-8101667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BF7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ppayas@fda.gov.ph" TargetMode="External"/><Relationship Id="rId13" Type="http://schemas.openxmlformats.org/officeDocument/2006/relationships/hyperlink" Target="https://members.wto.org/crnattachments/2019/TBT/PHL/19_1878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fda.gov.ph" TargetMode="External"/><Relationship Id="rId12" Type="http://schemas.openxmlformats.org/officeDocument/2006/relationships/hyperlink" Target="http://www.fda.gov.p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payas@fda.gov.p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fda.gov.p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da.gov.p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2019-04-02T11:30:00Z</dcterms:created>
  <dcterms:modified xsi:type="dcterms:W3CDTF">2019-04-03T12:54:00Z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G/TBT/N/PHL/214</vt:lpwstr>
  </property>
</Properties>
</file>