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044ED" w:rsidP="002F6A28">
      <w:pPr>
        <w:pStyle w:val="Titre"/>
        <w:rPr>
          <w:caps w:val="0"/>
          <w:kern w:val="0"/>
        </w:rPr>
      </w:pPr>
      <w:r w:rsidRPr="002F6A28">
        <w:rPr>
          <w:caps w:val="0"/>
          <w:kern w:val="0"/>
        </w:rPr>
        <w:t>NOTIFICATION</w:t>
      </w:r>
    </w:p>
    <w:p w:rsidR="009239F7" w:rsidRPr="002F6A28" w:rsidRDefault="008044ED"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444FF" w:rsidTr="0069259F">
        <w:tc>
          <w:tcPr>
            <w:tcW w:w="713" w:type="dxa"/>
            <w:tcBorders>
              <w:bottom w:val="single" w:sz="6" w:space="0" w:color="auto"/>
            </w:tcBorders>
            <w:shd w:val="clear" w:color="auto" w:fill="auto"/>
          </w:tcPr>
          <w:p w:rsidR="00F85C99" w:rsidRPr="002F6A28" w:rsidRDefault="008044ED" w:rsidP="008044ED">
            <w:pPr>
              <w:spacing w:before="120" w:after="120"/>
            </w:pPr>
            <w:r w:rsidRPr="002F6A28">
              <w:rPr>
                <w:b/>
              </w:rPr>
              <w:t>1.</w:t>
            </w:r>
          </w:p>
        </w:tc>
        <w:tc>
          <w:tcPr>
            <w:tcW w:w="8546" w:type="dxa"/>
            <w:tcBorders>
              <w:bottom w:val="single" w:sz="6" w:space="0" w:color="auto"/>
            </w:tcBorders>
            <w:shd w:val="clear" w:color="auto" w:fill="auto"/>
          </w:tcPr>
          <w:p w:rsidR="00F85C99" w:rsidRPr="002F6A28" w:rsidRDefault="008044ED" w:rsidP="008044ED">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Philippines</w:t>
            </w:r>
            <w:bookmarkEnd w:id="1"/>
            <w:r w:rsidRPr="002F6A28">
              <w:t xml:space="preserve"> </w:t>
            </w:r>
          </w:p>
          <w:p w:rsidR="00F85C99" w:rsidRPr="002F6A28" w:rsidRDefault="008044ED" w:rsidP="008044ED">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444FF" w:rsidTr="0069259F">
        <w:tc>
          <w:tcPr>
            <w:tcW w:w="713" w:type="dxa"/>
            <w:tcBorders>
              <w:top w:val="single" w:sz="6" w:space="0" w:color="auto"/>
              <w:bottom w:val="single" w:sz="6" w:space="0" w:color="auto"/>
            </w:tcBorders>
            <w:shd w:val="clear" w:color="auto" w:fill="auto"/>
          </w:tcPr>
          <w:p w:rsidR="00F85C99" w:rsidRPr="002F6A28" w:rsidRDefault="008044ED" w:rsidP="008044ED">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044ED" w:rsidP="008044ED">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Department of Health - Food and Drug Administration</w:t>
            </w:r>
            <w:bookmarkEnd w:id="5"/>
          </w:p>
          <w:p w:rsidR="00F85C99" w:rsidRPr="002F6A28" w:rsidRDefault="008044ED" w:rsidP="008044ED">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B444FF" w:rsidRPr="0017110A" w:rsidRDefault="008044ED" w:rsidP="008044ED">
            <w:pPr>
              <w:rPr>
                <w:lang w:val="es-ES"/>
              </w:rPr>
            </w:pPr>
            <w:proofErr w:type="spellStart"/>
            <w:r w:rsidRPr="0017110A">
              <w:rPr>
                <w:lang w:val="es-ES"/>
              </w:rPr>
              <w:t>Engr</w:t>
            </w:r>
            <w:proofErr w:type="spellEnd"/>
            <w:r w:rsidRPr="0017110A">
              <w:rPr>
                <w:lang w:val="es-ES"/>
              </w:rPr>
              <w:t xml:space="preserve">. </w:t>
            </w:r>
            <w:proofErr w:type="spellStart"/>
            <w:r w:rsidRPr="0017110A">
              <w:rPr>
                <w:lang w:val="es-ES"/>
              </w:rPr>
              <w:t>Bayani</w:t>
            </w:r>
            <w:proofErr w:type="spellEnd"/>
            <w:r w:rsidRPr="0017110A">
              <w:rPr>
                <w:lang w:val="es-ES"/>
              </w:rPr>
              <w:t xml:space="preserve"> C. San Juan, </w:t>
            </w:r>
            <w:proofErr w:type="gramStart"/>
            <w:r w:rsidRPr="0017110A">
              <w:rPr>
                <w:lang w:val="es-ES"/>
              </w:rPr>
              <w:t>Director</w:t>
            </w:r>
            <w:proofErr w:type="gramEnd"/>
            <w:r w:rsidRPr="0017110A">
              <w:rPr>
                <w:lang w:val="es-ES"/>
              </w:rPr>
              <w:t xml:space="preserve"> IV</w:t>
            </w:r>
          </w:p>
          <w:p w:rsidR="00B444FF" w:rsidRPr="002F6A28" w:rsidRDefault="008044ED" w:rsidP="008044ED">
            <w:proofErr w:type="spellStart"/>
            <w:r w:rsidRPr="002F6A28">
              <w:t>Center</w:t>
            </w:r>
            <w:proofErr w:type="spellEnd"/>
            <w:r w:rsidRPr="002F6A28">
              <w:t xml:space="preserve"> for Device Regulation, Radiation Health, and Research (</w:t>
            </w:r>
            <w:proofErr w:type="spellStart"/>
            <w:r w:rsidRPr="002F6A28">
              <w:t>CDRRHR</w:t>
            </w:r>
            <w:proofErr w:type="spellEnd"/>
            <w:r w:rsidRPr="002F6A28">
              <w:t>)</w:t>
            </w:r>
          </w:p>
          <w:p w:rsidR="00B444FF" w:rsidRPr="002F6A28" w:rsidRDefault="008044ED" w:rsidP="008044ED">
            <w:r w:rsidRPr="002F6A28">
              <w:t>Civic Drive, Filinvest Corporate City, Alabang 1781 Muntinlupa, Philippines</w:t>
            </w:r>
          </w:p>
          <w:p w:rsidR="00B444FF" w:rsidRPr="002F6A28" w:rsidRDefault="008044ED" w:rsidP="008044ED">
            <w:r w:rsidRPr="002F6A28">
              <w:t xml:space="preserve">+632.857.1900 </w:t>
            </w:r>
            <w:proofErr w:type="spellStart"/>
            <w:r w:rsidRPr="002F6A28">
              <w:t>loc</w:t>
            </w:r>
            <w:proofErr w:type="spellEnd"/>
            <w:r w:rsidRPr="002F6A28">
              <w:t xml:space="preserve"> 8301</w:t>
            </w:r>
          </w:p>
          <w:p w:rsidR="00B444FF" w:rsidRDefault="00FF2BDB" w:rsidP="008044ED">
            <w:hyperlink r:id="rId8" w:history="1">
              <w:r w:rsidR="000E2266" w:rsidRPr="00F91777">
                <w:rPr>
                  <w:rStyle w:val="Lienhypertexte"/>
                </w:rPr>
                <w:t>info@fda.gov.ph</w:t>
              </w:r>
            </w:hyperlink>
            <w:r w:rsidR="008044ED" w:rsidRPr="002F6A28">
              <w:t>/</w:t>
            </w:r>
            <w:hyperlink r:id="rId9" w:history="1">
              <w:r w:rsidR="000E2266" w:rsidRPr="00F91777">
                <w:rPr>
                  <w:rStyle w:val="Lienhypertexte"/>
                </w:rPr>
                <w:t>eppayas@fda.gov.ph</w:t>
              </w:r>
            </w:hyperlink>
          </w:p>
          <w:p w:rsidR="000E2266" w:rsidRPr="002F6A28" w:rsidRDefault="00FF2BDB" w:rsidP="008044ED">
            <w:pPr>
              <w:spacing w:after="120"/>
            </w:pPr>
            <w:hyperlink r:id="rId10" w:history="1">
              <w:r w:rsidR="000E2266" w:rsidRPr="00F91777">
                <w:rPr>
                  <w:rStyle w:val="Lienhypertexte"/>
                </w:rPr>
                <w:t>www.fda.gov.ph</w:t>
              </w:r>
            </w:hyperlink>
            <w:bookmarkEnd w:id="7"/>
          </w:p>
        </w:tc>
      </w:tr>
      <w:tr w:rsidR="00B444FF" w:rsidTr="0069259F">
        <w:tc>
          <w:tcPr>
            <w:tcW w:w="713" w:type="dxa"/>
            <w:tcBorders>
              <w:top w:val="single" w:sz="6" w:space="0" w:color="auto"/>
              <w:bottom w:val="single" w:sz="6" w:space="0" w:color="auto"/>
            </w:tcBorders>
            <w:shd w:val="clear" w:color="auto" w:fill="auto"/>
          </w:tcPr>
          <w:p w:rsidR="00F85C99" w:rsidRPr="002F6A28" w:rsidRDefault="008044ED" w:rsidP="008044ED">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8044ED" w:rsidP="008044ED">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FF5C69">
              <w:rPr>
                <w:b/>
              </w:rPr>
              <w:t>:</w:t>
            </w:r>
            <w:r w:rsidR="0058336F">
              <w:rPr>
                <w:b/>
              </w:rPr>
              <w:t xml:space="preserve"> </w:t>
            </w:r>
            <w:bookmarkStart w:id="17" w:name="tbt3e"/>
            <w:bookmarkEnd w:id="17"/>
          </w:p>
        </w:tc>
      </w:tr>
      <w:tr w:rsidR="00B444FF" w:rsidTr="0069259F">
        <w:tc>
          <w:tcPr>
            <w:tcW w:w="713" w:type="dxa"/>
            <w:tcBorders>
              <w:top w:val="single" w:sz="6" w:space="0" w:color="auto"/>
              <w:bottom w:val="single" w:sz="6" w:space="0" w:color="auto"/>
            </w:tcBorders>
            <w:shd w:val="clear" w:color="auto" w:fill="auto"/>
          </w:tcPr>
          <w:p w:rsidR="00F85C99" w:rsidRPr="002F6A28" w:rsidRDefault="008044ED" w:rsidP="008044ED">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044ED" w:rsidP="008044ED">
            <w:pPr>
              <w:spacing w:before="120" w:after="120"/>
            </w:pPr>
            <w:bookmarkStart w:id="18"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8"/>
            <w:r w:rsidRPr="002F6A28">
              <w:rPr>
                <w:b/>
              </w:rPr>
              <w:t>:</w:t>
            </w:r>
            <w:r w:rsidR="00EE3A11" w:rsidRPr="00C379C8">
              <w:t xml:space="preserve"> </w:t>
            </w:r>
            <w:bookmarkStart w:id="19" w:name="sps3a"/>
            <w:r w:rsidRPr="002F6A28">
              <w:rPr>
                <w:bCs/>
              </w:rPr>
              <w:t>In vitro diagnostic test systems (ICS 11.100.10)</w:t>
            </w:r>
            <w:bookmarkEnd w:id="19"/>
          </w:p>
        </w:tc>
      </w:tr>
      <w:tr w:rsidR="00B444FF" w:rsidTr="0069259F">
        <w:tc>
          <w:tcPr>
            <w:tcW w:w="713" w:type="dxa"/>
            <w:tcBorders>
              <w:top w:val="single" w:sz="6" w:space="0" w:color="auto"/>
              <w:bottom w:val="single" w:sz="6" w:space="0" w:color="auto"/>
            </w:tcBorders>
            <w:shd w:val="clear" w:color="auto" w:fill="auto"/>
          </w:tcPr>
          <w:p w:rsidR="00F85C99" w:rsidRPr="002F6A28" w:rsidRDefault="008044ED" w:rsidP="008044ED">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044ED" w:rsidP="008044ED">
            <w:pPr>
              <w:spacing w:before="120" w:after="120"/>
            </w:pPr>
            <w:bookmarkStart w:id="20" w:name="X_TBT_Reg_5A"/>
            <w:r w:rsidRPr="002F6A28">
              <w:rPr>
                <w:b/>
              </w:rPr>
              <w:t>Title, number of pages and language(s) of the notified document</w:t>
            </w:r>
            <w:bookmarkEnd w:id="20"/>
            <w:r w:rsidRPr="002F6A28">
              <w:rPr>
                <w:b/>
              </w:rPr>
              <w:t>:</w:t>
            </w:r>
            <w:r w:rsidR="00EE3A11" w:rsidRPr="00C379C8">
              <w:t xml:space="preserve"> </w:t>
            </w:r>
            <w:bookmarkStart w:id="21" w:name="sps5a"/>
            <w:r w:rsidRPr="002F6A28">
              <w:t>Draft Administrative Order No. __</w:t>
            </w:r>
            <w:proofErr w:type="gramStart"/>
            <w:r w:rsidRPr="002F6A28">
              <w:t>_ :</w:t>
            </w:r>
            <w:proofErr w:type="gramEnd"/>
            <w:r w:rsidRPr="002F6A28">
              <w:t xml:space="preserve"> Rules and Regulations Governing the Issuance of an Authorization for an In-Vitro Diagnostic (</w:t>
            </w:r>
            <w:proofErr w:type="spellStart"/>
            <w:r w:rsidRPr="002F6A28">
              <w:t>IVD</w:t>
            </w:r>
            <w:proofErr w:type="spellEnd"/>
            <w:r w:rsidRPr="002F6A28">
              <w:t>) Medical Device Based on the ASEAN Harmonized Technical Requirements (12 page(s), in English)</w:t>
            </w:r>
            <w:bookmarkStart w:id="22" w:name="sps5c"/>
            <w:bookmarkStart w:id="23" w:name="sps5b"/>
            <w:bookmarkEnd w:id="21"/>
            <w:bookmarkEnd w:id="22"/>
            <w:bookmarkEnd w:id="23"/>
          </w:p>
        </w:tc>
      </w:tr>
      <w:tr w:rsidR="00B444FF" w:rsidTr="0069259F">
        <w:tc>
          <w:tcPr>
            <w:tcW w:w="713" w:type="dxa"/>
            <w:tcBorders>
              <w:top w:val="single" w:sz="6" w:space="0" w:color="auto"/>
              <w:bottom w:val="single" w:sz="6" w:space="0" w:color="auto"/>
            </w:tcBorders>
            <w:shd w:val="clear" w:color="auto" w:fill="auto"/>
          </w:tcPr>
          <w:p w:rsidR="00F85C99" w:rsidRPr="002F6A28" w:rsidRDefault="008044ED" w:rsidP="008044ED">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044ED" w:rsidP="008044ED">
            <w:pPr>
              <w:spacing w:before="120" w:after="120"/>
              <w:rPr>
                <w:b/>
              </w:rPr>
            </w:pPr>
            <w:bookmarkStart w:id="24" w:name="X_TBT_Reg_6A"/>
            <w:r w:rsidRPr="002F6A28">
              <w:rPr>
                <w:b/>
              </w:rPr>
              <w:t>Description of content</w:t>
            </w:r>
            <w:bookmarkEnd w:id="24"/>
            <w:r w:rsidRPr="002F6A28">
              <w:rPr>
                <w:b/>
              </w:rPr>
              <w:t>:</w:t>
            </w:r>
            <w:r w:rsidR="00FE448B" w:rsidRPr="00C379C8">
              <w:t xml:space="preserve"> </w:t>
            </w:r>
            <w:r w:rsidRPr="002F6A28">
              <w:t xml:space="preserve">Republic Act No. 9711, otherwise known as the "Food and Drug Administration Act of 2009", and its Implementing Rules and Regulations, declare that it is the policy of the state to insure the safety, efficacy and quality of </w:t>
            </w:r>
            <w:proofErr w:type="spellStart"/>
            <w:r w:rsidRPr="002F6A28">
              <w:t>IVD</w:t>
            </w:r>
            <w:proofErr w:type="spellEnd"/>
            <w:r w:rsidRPr="002F6A28">
              <w:t xml:space="preserve"> medical devices in the country </w:t>
            </w:r>
            <w:proofErr w:type="gramStart"/>
            <w:r w:rsidRPr="002F6A28">
              <w:t>so as to</w:t>
            </w:r>
            <w:proofErr w:type="gramEnd"/>
            <w:r w:rsidRPr="002F6A28">
              <w:t xml:space="preserve"> protect the health of the Filipino people.</w:t>
            </w:r>
          </w:p>
          <w:p w:rsidR="00B444FF" w:rsidRPr="002F6A28" w:rsidRDefault="008044ED" w:rsidP="008044ED">
            <w:pPr>
              <w:spacing w:before="120" w:after="120"/>
            </w:pPr>
            <w:r w:rsidRPr="002F6A28">
              <w:t>The signing of the ASEAN Agreement on Medical Device Directive (</w:t>
            </w:r>
            <w:proofErr w:type="spellStart"/>
            <w:r w:rsidRPr="002F6A28">
              <w:t>AMDD</w:t>
            </w:r>
            <w:proofErr w:type="spellEnd"/>
            <w:r w:rsidRPr="002F6A28">
              <w:t xml:space="preserve">) in 2014, mandated the Philippines to implement the following provisions to a) "require the person responsible for placing the </w:t>
            </w:r>
            <w:proofErr w:type="spellStart"/>
            <w:r w:rsidRPr="002F6A28">
              <w:t>IVD</w:t>
            </w:r>
            <w:proofErr w:type="spellEnd"/>
            <w:r w:rsidRPr="002F6A28">
              <w:t xml:space="preserve"> medical devices in that Member State or the authorized representative to register the </w:t>
            </w:r>
            <w:proofErr w:type="spellStart"/>
            <w:r w:rsidRPr="002F6A28">
              <w:t>IVD</w:t>
            </w:r>
            <w:proofErr w:type="spellEnd"/>
            <w:r w:rsidRPr="002F6A28">
              <w:t xml:space="preserve"> medical devices with the regulatory authority by of that Member State", b) "shall undertake all necessary measures to ensure that only </w:t>
            </w:r>
            <w:proofErr w:type="spellStart"/>
            <w:r w:rsidRPr="002F6A28">
              <w:t>IVD</w:t>
            </w:r>
            <w:proofErr w:type="spellEnd"/>
            <w:r w:rsidRPr="002F6A28">
              <w:t xml:space="preserve"> medical devices which conform to the </w:t>
            </w:r>
            <w:proofErr w:type="spellStart"/>
            <w:r w:rsidRPr="002F6A28">
              <w:t>AMDD</w:t>
            </w:r>
            <w:proofErr w:type="spellEnd"/>
            <w:r w:rsidRPr="002F6A28">
              <w:t xml:space="preserve"> may be placed on markets of that Member State" and c) "put in place an appropriate system for the registration of </w:t>
            </w:r>
            <w:proofErr w:type="spellStart"/>
            <w:r w:rsidRPr="002F6A28">
              <w:t>IVD</w:t>
            </w:r>
            <w:proofErr w:type="spellEnd"/>
            <w:r w:rsidRPr="002F6A28">
              <w:t xml:space="preserve"> medical devices with the Regulatory Authority of that Member State".</w:t>
            </w:r>
          </w:p>
          <w:p w:rsidR="00B444FF" w:rsidRPr="002F6A28" w:rsidRDefault="008044ED" w:rsidP="008044ED">
            <w:pPr>
              <w:spacing w:before="120" w:after="120"/>
            </w:pPr>
            <w:r w:rsidRPr="002F6A28">
              <w:t xml:space="preserve">The Department of Health through the Food and Drug Administration - </w:t>
            </w:r>
            <w:proofErr w:type="spellStart"/>
            <w:r w:rsidRPr="002F6A28">
              <w:t>Center</w:t>
            </w:r>
            <w:proofErr w:type="spellEnd"/>
            <w:r w:rsidRPr="002F6A28">
              <w:t xml:space="preserve"> for Device Regulation, Radiation Health and Research (</w:t>
            </w:r>
            <w:proofErr w:type="spellStart"/>
            <w:r w:rsidRPr="002F6A28">
              <w:t>CDRRHR</w:t>
            </w:r>
            <w:proofErr w:type="spellEnd"/>
            <w:r w:rsidRPr="002F6A28">
              <w:t xml:space="preserve">) hereby adopt, issues and implement the </w:t>
            </w:r>
            <w:proofErr w:type="spellStart"/>
            <w:r w:rsidRPr="002F6A28">
              <w:t>AMDD</w:t>
            </w:r>
            <w:proofErr w:type="spellEnd"/>
            <w:r w:rsidRPr="002F6A28">
              <w:t xml:space="preserve"> guidelines on the registration of </w:t>
            </w:r>
            <w:proofErr w:type="spellStart"/>
            <w:r w:rsidRPr="002F6A28">
              <w:t>IVD</w:t>
            </w:r>
            <w:proofErr w:type="spellEnd"/>
            <w:r w:rsidRPr="002F6A28">
              <w:t xml:space="preserve"> medical devices and to provide the regulatory requirement and registration process.</w:t>
            </w:r>
          </w:p>
        </w:tc>
      </w:tr>
      <w:tr w:rsidR="00B444FF" w:rsidTr="0069259F">
        <w:tc>
          <w:tcPr>
            <w:tcW w:w="713" w:type="dxa"/>
            <w:tcBorders>
              <w:top w:val="single" w:sz="6" w:space="0" w:color="auto"/>
              <w:bottom w:val="single" w:sz="6" w:space="0" w:color="auto"/>
            </w:tcBorders>
            <w:shd w:val="clear" w:color="auto" w:fill="auto"/>
          </w:tcPr>
          <w:p w:rsidR="00F85C99" w:rsidRPr="002F6A28" w:rsidRDefault="008044ED" w:rsidP="008044ED">
            <w:pPr>
              <w:keepNext/>
              <w:keepLines/>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110954" w:rsidRDefault="008044ED" w:rsidP="008044ED">
            <w:pPr>
              <w:keepNext/>
              <w:keepLines/>
              <w:spacing w:before="120" w:after="120"/>
            </w:pPr>
            <w:bookmarkStart w:id="25" w:name="X_TBT_Reg_7A"/>
            <w:r w:rsidRPr="002F6A28">
              <w:rPr>
                <w:b/>
              </w:rPr>
              <w:t>Objective and rationale, including the nature of urgent problems where applicable</w:t>
            </w:r>
            <w:bookmarkEnd w:id="25"/>
            <w:r w:rsidRPr="002F6A28">
              <w:rPr>
                <w:b/>
              </w:rPr>
              <w:t>:</w:t>
            </w:r>
            <w:r w:rsidR="00EE3A11" w:rsidRPr="00C379C8">
              <w:t xml:space="preserve"> </w:t>
            </w:r>
            <w:bookmarkStart w:id="26" w:name="sps7f"/>
            <w:r w:rsidRPr="002F6A28">
              <w:t>This Administrative Order aims to specify the rules, guidelines, procedures and requirements of the FDA-</w:t>
            </w:r>
            <w:proofErr w:type="spellStart"/>
            <w:r w:rsidRPr="002F6A28">
              <w:t>CDRRHR</w:t>
            </w:r>
            <w:proofErr w:type="spellEnd"/>
            <w:r w:rsidRPr="002F6A28">
              <w:t xml:space="preserve"> relative to the issuance of an authorizations for </w:t>
            </w:r>
            <w:proofErr w:type="spellStart"/>
            <w:r w:rsidRPr="002F6A28">
              <w:t>IVD</w:t>
            </w:r>
            <w:proofErr w:type="spellEnd"/>
            <w:r w:rsidRPr="002F6A28">
              <w:t xml:space="preserve"> medical devices adapting the provisions of ASEAN </w:t>
            </w:r>
            <w:proofErr w:type="spellStart"/>
            <w:r w:rsidRPr="002F6A28">
              <w:t>AMDD</w:t>
            </w:r>
            <w:proofErr w:type="spellEnd"/>
            <w:r w:rsidRPr="002F6A28">
              <w:t>.</w:t>
            </w:r>
          </w:p>
          <w:p w:rsidR="00F85C99" w:rsidRPr="002F6A28" w:rsidRDefault="008044ED" w:rsidP="008044ED">
            <w:pPr>
              <w:keepNext/>
              <w:keepLines/>
              <w:spacing w:before="120" w:after="120"/>
              <w:rPr>
                <w:b/>
              </w:rPr>
            </w:pPr>
            <w:r w:rsidRPr="002F6A28">
              <w:t>Protection of human health or safety</w:t>
            </w:r>
            <w:bookmarkEnd w:id="26"/>
          </w:p>
        </w:tc>
      </w:tr>
      <w:tr w:rsidR="00B444FF" w:rsidTr="0069259F">
        <w:tc>
          <w:tcPr>
            <w:tcW w:w="713" w:type="dxa"/>
            <w:tcBorders>
              <w:top w:val="single" w:sz="6" w:space="0" w:color="auto"/>
              <w:bottom w:val="single" w:sz="6" w:space="0" w:color="auto"/>
            </w:tcBorders>
            <w:shd w:val="clear" w:color="auto" w:fill="auto"/>
          </w:tcPr>
          <w:p w:rsidR="00F85C99" w:rsidRPr="002F6A28" w:rsidRDefault="008044ED" w:rsidP="008044ED">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044ED" w:rsidP="008044ED">
            <w:pPr>
              <w:spacing w:before="120" w:after="120"/>
            </w:pPr>
            <w:bookmarkStart w:id="27" w:name="X_TBT_Reg_8A"/>
            <w:r w:rsidRPr="002F6A28">
              <w:rPr>
                <w:b/>
              </w:rPr>
              <w:t>Relevant documents</w:t>
            </w:r>
            <w:bookmarkEnd w:id="27"/>
            <w:r w:rsidRPr="002F6A28">
              <w:rPr>
                <w:b/>
              </w:rPr>
              <w:t>:</w:t>
            </w:r>
            <w:r w:rsidR="00EE3A11" w:rsidRPr="002F6A28">
              <w:t xml:space="preserve"> </w:t>
            </w:r>
          </w:p>
          <w:p w:rsidR="00B444FF" w:rsidRPr="002F6A28" w:rsidRDefault="008044ED" w:rsidP="008044ED">
            <w:pPr>
              <w:numPr>
                <w:ilvl w:val="0"/>
                <w:numId w:val="16"/>
              </w:numPr>
              <w:spacing w:before="120" w:after="120"/>
              <w:rPr>
                <w:bCs/>
              </w:rPr>
            </w:pPr>
            <w:r w:rsidRPr="002F6A28">
              <w:rPr>
                <w:bCs/>
              </w:rPr>
              <w:t>Republic Act No. 9711 - Food and Drug Administration Act of 2009</w:t>
            </w:r>
          </w:p>
        </w:tc>
      </w:tr>
      <w:tr w:rsidR="00B444FF" w:rsidTr="00AE6CC8">
        <w:trPr>
          <w:cantSplit/>
        </w:trPr>
        <w:tc>
          <w:tcPr>
            <w:tcW w:w="713" w:type="dxa"/>
            <w:tcBorders>
              <w:top w:val="single" w:sz="6" w:space="0" w:color="auto"/>
              <w:bottom w:val="single" w:sz="6" w:space="0" w:color="auto"/>
            </w:tcBorders>
            <w:shd w:val="clear" w:color="auto" w:fill="auto"/>
          </w:tcPr>
          <w:p w:rsidR="00EE3A11" w:rsidRPr="002F6A28" w:rsidRDefault="008044ED" w:rsidP="008044ED">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044ED" w:rsidP="008044ED">
            <w:pPr>
              <w:spacing w:before="120" w:after="120"/>
            </w:pPr>
            <w:bookmarkStart w:id="28" w:name="X_TBT_Reg_9A"/>
            <w:r w:rsidRPr="002F6A28">
              <w:rPr>
                <w:b/>
              </w:rPr>
              <w:t>Proposed date of adoption</w:t>
            </w:r>
            <w:bookmarkEnd w:id="28"/>
            <w:r w:rsidRPr="002F6A28">
              <w:rPr>
                <w:b/>
              </w:rPr>
              <w:t>:</w:t>
            </w:r>
            <w:r w:rsidRPr="00C379C8">
              <w:t xml:space="preserve"> </w:t>
            </w:r>
            <w:bookmarkStart w:id="29" w:name="sps10a"/>
            <w:bookmarkStart w:id="30" w:name="sps10b"/>
            <w:bookmarkEnd w:id="29"/>
            <w:r w:rsidRPr="002F6A28">
              <w:t>This Order shall take effect 15 days after its publication in a national newspaper of general circulation.</w:t>
            </w:r>
            <w:bookmarkEnd w:id="30"/>
          </w:p>
          <w:p w:rsidR="00EE3A11" w:rsidRPr="002F6A28" w:rsidRDefault="008044ED" w:rsidP="008044ED">
            <w:pPr>
              <w:spacing w:after="120"/>
            </w:pPr>
            <w:bookmarkStart w:id="31" w:name="X_TBT_Reg_9B"/>
            <w:r w:rsidRPr="002F6A28">
              <w:rPr>
                <w:b/>
              </w:rPr>
              <w:t>Proposed date of entry into force</w:t>
            </w:r>
            <w:bookmarkEnd w:id="31"/>
            <w:r w:rsidRPr="002F6A28">
              <w:rPr>
                <w:b/>
              </w:rPr>
              <w:t>:</w:t>
            </w:r>
            <w:r w:rsidRPr="00C379C8">
              <w:t xml:space="preserve"> </w:t>
            </w:r>
            <w:bookmarkStart w:id="32" w:name="sps11a"/>
            <w:bookmarkStart w:id="33" w:name="sps11b"/>
            <w:bookmarkEnd w:id="32"/>
            <w:r w:rsidRPr="002F6A28">
              <w:t>This Order shall take effect 15 days after its publication in a national newspaper of general circulation.</w:t>
            </w:r>
            <w:bookmarkEnd w:id="33"/>
          </w:p>
        </w:tc>
      </w:tr>
      <w:tr w:rsidR="00B444FF" w:rsidTr="0069259F">
        <w:tc>
          <w:tcPr>
            <w:tcW w:w="713" w:type="dxa"/>
            <w:tcBorders>
              <w:top w:val="single" w:sz="6" w:space="0" w:color="auto"/>
              <w:bottom w:val="single" w:sz="6" w:space="0" w:color="auto"/>
            </w:tcBorders>
            <w:shd w:val="clear" w:color="auto" w:fill="auto"/>
          </w:tcPr>
          <w:p w:rsidR="00F85C99" w:rsidRPr="002F6A28" w:rsidRDefault="008044ED" w:rsidP="008044ED">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044ED" w:rsidP="008044ED">
            <w:pPr>
              <w:spacing w:before="120" w:after="120"/>
            </w:pPr>
            <w:bookmarkStart w:id="34" w:name="X_TBT_Reg_10A"/>
            <w:r w:rsidRPr="002F6A28">
              <w:rPr>
                <w:b/>
              </w:rPr>
              <w:t>Final date for comments</w:t>
            </w:r>
            <w:bookmarkEnd w:id="34"/>
            <w:r w:rsidRPr="002F6A28">
              <w:rPr>
                <w:b/>
              </w:rPr>
              <w:t>:</w:t>
            </w:r>
            <w:r w:rsidR="00EE3A11" w:rsidRPr="00C379C8">
              <w:t xml:space="preserve"> </w:t>
            </w:r>
            <w:bookmarkStart w:id="35" w:name="sps12a"/>
            <w:r w:rsidRPr="002F6A28">
              <w:rPr>
                <w:bCs/>
              </w:rPr>
              <w:t>60 days from notification</w:t>
            </w:r>
            <w:bookmarkEnd w:id="35"/>
          </w:p>
        </w:tc>
      </w:tr>
      <w:tr w:rsidR="00B444FF" w:rsidTr="0069259F">
        <w:tc>
          <w:tcPr>
            <w:tcW w:w="713" w:type="dxa"/>
            <w:tcBorders>
              <w:top w:val="single" w:sz="6" w:space="0" w:color="auto"/>
            </w:tcBorders>
            <w:shd w:val="clear" w:color="auto" w:fill="auto"/>
          </w:tcPr>
          <w:p w:rsidR="00F85C99" w:rsidRPr="002F6A28" w:rsidRDefault="008044E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8044ED" w:rsidP="00B16145">
            <w:pPr>
              <w:keepNext/>
              <w:keepLines/>
              <w:spacing w:before="120" w:after="120"/>
            </w:pPr>
            <w:bookmarkStart w:id="36"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6"/>
            <w:r w:rsidRPr="002F6A28">
              <w:rPr>
                <w:b/>
              </w:rPr>
              <w:t xml:space="preserve"> </w:t>
            </w:r>
            <w:proofErr w:type="gramStart"/>
            <w:r w:rsidR="00533DC1" w:rsidRPr="002F6A28">
              <w:rPr>
                <w:b/>
              </w:rPr>
              <w:t>[</w:t>
            </w:r>
            <w:bookmarkStart w:id="37" w:name="sps13b"/>
            <w:r w:rsidRPr="002F6A28">
              <w:rPr>
                <w:b/>
              </w:rPr>
              <w:t xml:space="preserve"> </w:t>
            </w:r>
            <w:bookmarkEnd w:id="37"/>
            <w:r w:rsidRPr="002F6A28">
              <w:rPr>
                <w:b/>
              </w:rPr>
              <w:t>]</w:t>
            </w:r>
            <w:proofErr w:type="gramEnd"/>
            <w:r w:rsidRPr="002F6A28">
              <w:rPr>
                <w:b/>
              </w:rPr>
              <w:t xml:space="preserve"> </w:t>
            </w:r>
            <w:bookmarkStart w:id="38"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8"/>
            <w:r w:rsidRPr="002F6A28">
              <w:rPr>
                <w:b/>
              </w:rPr>
              <w:t>:</w:t>
            </w:r>
            <w:r w:rsidR="00EE3A11" w:rsidRPr="00C379C8">
              <w:rPr>
                <w:b/>
              </w:rPr>
              <w:t xml:space="preserve"> </w:t>
            </w:r>
            <w:bookmarkStart w:id="39" w:name="sps13c"/>
          </w:p>
          <w:p w:rsidR="00B444FF" w:rsidRPr="002F6A28" w:rsidRDefault="008044ED" w:rsidP="00B16145">
            <w:pPr>
              <w:keepNext/>
              <w:keepLines/>
            </w:pPr>
            <w:proofErr w:type="spellStart"/>
            <w:r w:rsidRPr="002F6A28">
              <w:t>Center</w:t>
            </w:r>
            <w:proofErr w:type="spellEnd"/>
            <w:r w:rsidRPr="002F6A28">
              <w:t xml:space="preserve"> for Device Regulation, Radiation Health, and Research (</w:t>
            </w:r>
            <w:proofErr w:type="spellStart"/>
            <w:r w:rsidRPr="002F6A28">
              <w:t>CDRRHR</w:t>
            </w:r>
            <w:proofErr w:type="spellEnd"/>
            <w:r w:rsidRPr="002F6A28">
              <w:t>)</w:t>
            </w:r>
          </w:p>
          <w:p w:rsidR="00B444FF" w:rsidRPr="002F6A28" w:rsidRDefault="008044ED" w:rsidP="00B16145">
            <w:pPr>
              <w:keepNext/>
              <w:keepLines/>
            </w:pPr>
            <w:r w:rsidRPr="002F6A28">
              <w:t>Civic Drive, Filinvest Corporate City, Alabang 1781 Muntinlupa, Philippines</w:t>
            </w:r>
          </w:p>
          <w:p w:rsidR="00B444FF" w:rsidRPr="002F6A28" w:rsidRDefault="008044ED" w:rsidP="00B16145">
            <w:pPr>
              <w:keepNext/>
              <w:keepLines/>
            </w:pPr>
            <w:r w:rsidRPr="002F6A28">
              <w:t xml:space="preserve">+632.857.1900 </w:t>
            </w:r>
            <w:proofErr w:type="spellStart"/>
            <w:r w:rsidRPr="002F6A28">
              <w:t>loc</w:t>
            </w:r>
            <w:proofErr w:type="spellEnd"/>
            <w:r w:rsidRPr="002F6A28">
              <w:t xml:space="preserve"> 8301</w:t>
            </w:r>
          </w:p>
          <w:p w:rsidR="00932D58" w:rsidRPr="002F6A28" w:rsidRDefault="00FF2BDB" w:rsidP="00B16145">
            <w:pPr>
              <w:keepNext/>
              <w:keepLines/>
            </w:pPr>
            <w:hyperlink r:id="rId11" w:history="1">
              <w:r w:rsidR="00932D58" w:rsidRPr="00F91777">
                <w:rPr>
                  <w:rStyle w:val="Lienhypertexte"/>
                </w:rPr>
                <w:t>info@fda.gov.ph</w:t>
              </w:r>
            </w:hyperlink>
            <w:r w:rsidR="008044ED" w:rsidRPr="002F6A28">
              <w:t>/</w:t>
            </w:r>
            <w:hyperlink r:id="rId12" w:history="1">
              <w:r w:rsidR="00932D58" w:rsidRPr="00F91777">
                <w:rPr>
                  <w:rStyle w:val="Lienhypertexte"/>
                </w:rPr>
                <w:t>eppayas@fda.gov.ph</w:t>
              </w:r>
            </w:hyperlink>
          </w:p>
          <w:p w:rsidR="00932D58" w:rsidRPr="002F6A28" w:rsidRDefault="00FF2BDB" w:rsidP="00B16145">
            <w:pPr>
              <w:keepNext/>
              <w:keepLines/>
              <w:spacing w:after="120"/>
            </w:pPr>
            <w:hyperlink r:id="rId13" w:history="1">
              <w:r w:rsidR="00932D58" w:rsidRPr="00F91777">
                <w:rPr>
                  <w:rStyle w:val="Lienhypertexte"/>
                </w:rPr>
                <w:t>www.fda.gov.ph</w:t>
              </w:r>
            </w:hyperlink>
          </w:p>
          <w:p w:rsidR="00B444FF" w:rsidRPr="002F6A28" w:rsidRDefault="00FF2BDB" w:rsidP="00B16145">
            <w:pPr>
              <w:keepNext/>
              <w:keepLines/>
              <w:spacing w:before="120" w:after="120"/>
            </w:pPr>
            <w:hyperlink r:id="rId14" w:history="1">
              <w:r w:rsidR="008044ED" w:rsidRPr="002F6A28">
                <w:rPr>
                  <w:color w:val="0000FF"/>
                  <w:u w:val="single"/>
                </w:rPr>
                <w:t>https://members.wto.org/crnattachments/2019/TBT/PHL/19_1876_00_e.pdf</w:t>
              </w:r>
            </w:hyperlink>
            <w:bookmarkEnd w:id="39"/>
          </w:p>
        </w:tc>
      </w:tr>
    </w:tbl>
    <w:p w:rsidR="00EE3A11" w:rsidRPr="002F6A28" w:rsidRDefault="00EE3A11" w:rsidP="002F6A28"/>
    <w:sectPr w:rsidR="00EE3A11" w:rsidRPr="002F6A28" w:rsidSect="0017110A">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488" w:rsidRDefault="008044ED">
      <w:r>
        <w:separator/>
      </w:r>
    </w:p>
  </w:endnote>
  <w:endnote w:type="continuationSeparator" w:id="0">
    <w:p w:rsidR="00975488" w:rsidRDefault="0080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7110A" w:rsidRDefault="0017110A" w:rsidP="0017110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7110A" w:rsidRDefault="0017110A" w:rsidP="0017110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044ED">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488" w:rsidRDefault="008044ED">
      <w:r>
        <w:separator/>
      </w:r>
    </w:p>
  </w:footnote>
  <w:footnote w:type="continuationSeparator" w:id="0">
    <w:p w:rsidR="00975488" w:rsidRDefault="00804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0A" w:rsidRPr="0017110A" w:rsidRDefault="0017110A" w:rsidP="0017110A">
    <w:pPr>
      <w:pStyle w:val="En-tte"/>
      <w:pBdr>
        <w:bottom w:val="single" w:sz="4" w:space="1" w:color="auto"/>
      </w:pBdr>
      <w:tabs>
        <w:tab w:val="clear" w:pos="4513"/>
        <w:tab w:val="clear" w:pos="9027"/>
      </w:tabs>
      <w:jc w:val="center"/>
    </w:pPr>
    <w:r w:rsidRPr="0017110A">
      <w:t>G/TBT/N/</w:t>
    </w:r>
    <w:proofErr w:type="spellStart"/>
    <w:r w:rsidRPr="0017110A">
      <w:t>PHL</w:t>
    </w:r>
    <w:proofErr w:type="spellEnd"/>
    <w:r w:rsidRPr="0017110A">
      <w:t>/212</w:t>
    </w:r>
  </w:p>
  <w:p w:rsidR="0017110A" w:rsidRPr="0017110A" w:rsidRDefault="0017110A" w:rsidP="0017110A">
    <w:pPr>
      <w:pStyle w:val="En-tte"/>
      <w:pBdr>
        <w:bottom w:val="single" w:sz="4" w:space="1" w:color="auto"/>
      </w:pBdr>
      <w:tabs>
        <w:tab w:val="clear" w:pos="4513"/>
        <w:tab w:val="clear" w:pos="9027"/>
      </w:tabs>
      <w:jc w:val="center"/>
    </w:pPr>
  </w:p>
  <w:p w:rsidR="0017110A" w:rsidRPr="0017110A" w:rsidRDefault="0017110A" w:rsidP="0017110A">
    <w:pPr>
      <w:pStyle w:val="En-tte"/>
      <w:pBdr>
        <w:bottom w:val="single" w:sz="4" w:space="1" w:color="auto"/>
      </w:pBdr>
      <w:tabs>
        <w:tab w:val="clear" w:pos="4513"/>
        <w:tab w:val="clear" w:pos="9027"/>
      </w:tabs>
      <w:jc w:val="center"/>
    </w:pPr>
    <w:r w:rsidRPr="0017110A">
      <w:t xml:space="preserve">- </w:t>
    </w:r>
    <w:r w:rsidRPr="0017110A">
      <w:fldChar w:fldCharType="begin"/>
    </w:r>
    <w:r w:rsidRPr="0017110A">
      <w:instrText xml:space="preserve"> PAGE </w:instrText>
    </w:r>
    <w:r w:rsidRPr="0017110A">
      <w:fldChar w:fldCharType="separate"/>
    </w:r>
    <w:r w:rsidRPr="0017110A">
      <w:rPr>
        <w:noProof/>
      </w:rPr>
      <w:t>2</w:t>
    </w:r>
    <w:r w:rsidRPr="0017110A">
      <w:fldChar w:fldCharType="end"/>
    </w:r>
    <w:r w:rsidRPr="0017110A">
      <w:t xml:space="preserve"> -</w:t>
    </w:r>
  </w:p>
  <w:p w:rsidR="009239F7" w:rsidRPr="0017110A" w:rsidRDefault="009239F7" w:rsidP="0017110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0A" w:rsidRPr="0017110A" w:rsidRDefault="0017110A" w:rsidP="0017110A">
    <w:pPr>
      <w:pStyle w:val="En-tte"/>
      <w:pBdr>
        <w:bottom w:val="single" w:sz="4" w:space="1" w:color="auto"/>
      </w:pBdr>
      <w:tabs>
        <w:tab w:val="clear" w:pos="4513"/>
        <w:tab w:val="clear" w:pos="9027"/>
      </w:tabs>
      <w:jc w:val="center"/>
    </w:pPr>
    <w:r w:rsidRPr="0017110A">
      <w:t>G/TBT/N/</w:t>
    </w:r>
    <w:proofErr w:type="spellStart"/>
    <w:r w:rsidRPr="0017110A">
      <w:t>PHL</w:t>
    </w:r>
    <w:proofErr w:type="spellEnd"/>
    <w:r w:rsidRPr="0017110A">
      <w:t>/212</w:t>
    </w:r>
  </w:p>
  <w:p w:rsidR="0017110A" w:rsidRPr="0017110A" w:rsidRDefault="0017110A" w:rsidP="0017110A">
    <w:pPr>
      <w:pStyle w:val="En-tte"/>
      <w:pBdr>
        <w:bottom w:val="single" w:sz="4" w:space="1" w:color="auto"/>
      </w:pBdr>
      <w:tabs>
        <w:tab w:val="clear" w:pos="4513"/>
        <w:tab w:val="clear" w:pos="9027"/>
      </w:tabs>
      <w:jc w:val="center"/>
    </w:pPr>
  </w:p>
  <w:p w:rsidR="0017110A" w:rsidRPr="0017110A" w:rsidRDefault="0017110A" w:rsidP="0017110A">
    <w:pPr>
      <w:pStyle w:val="En-tte"/>
      <w:pBdr>
        <w:bottom w:val="single" w:sz="4" w:space="1" w:color="auto"/>
      </w:pBdr>
      <w:tabs>
        <w:tab w:val="clear" w:pos="4513"/>
        <w:tab w:val="clear" w:pos="9027"/>
      </w:tabs>
      <w:jc w:val="center"/>
    </w:pPr>
    <w:r w:rsidRPr="0017110A">
      <w:t xml:space="preserve">- </w:t>
    </w:r>
    <w:r w:rsidRPr="0017110A">
      <w:fldChar w:fldCharType="begin"/>
    </w:r>
    <w:r w:rsidRPr="0017110A">
      <w:instrText xml:space="preserve"> PAGE </w:instrText>
    </w:r>
    <w:r w:rsidRPr="0017110A">
      <w:fldChar w:fldCharType="separate"/>
    </w:r>
    <w:r w:rsidRPr="0017110A">
      <w:rPr>
        <w:noProof/>
      </w:rPr>
      <w:t>2</w:t>
    </w:r>
    <w:r w:rsidRPr="0017110A">
      <w:fldChar w:fldCharType="end"/>
    </w:r>
    <w:r w:rsidRPr="0017110A">
      <w:t xml:space="preserve"> -</w:t>
    </w:r>
  </w:p>
  <w:p w:rsidR="009239F7" w:rsidRPr="0017110A" w:rsidRDefault="009239F7" w:rsidP="0017110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444FF"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0" w:name="bmkRestricted" w:colFirst="1" w:colLast="1"/>
        </w:p>
      </w:tc>
      <w:tc>
        <w:tcPr>
          <w:tcW w:w="5448" w:type="dxa"/>
          <w:gridSpan w:val="2"/>
          <w:shd w:val="clear" w:color="auto" w:fill="FFFFFF"/>
          <w:tcMar>
            <w:left w:w="108" w:type="dxa"/>
            <w:right w:w="108" w:type="dxa"/>
          </w:tcMar>
          <w:vAlign w:val="center"/>
        </w:tcPr>
        <w:p w:rsidR="00ED54E0" w:rsidRPr="009239F7" w:rsidRDefault="0017110A" w:rsidP="00B801E9">
          <w:pPr>
            <w:jc w:val="right"/>
            <w:rPr>
              <w:b/>
              <w:color w:val="FF0000"/>
              <w:szCs w:val="16"/>
            </w:rPr>
          </w:pPr>
          <w:r>
            <w:rPr>
              <w:b/>
              <w:color w:val="FF0000"/>
              <w:szCs w:val="16"/>
            </w:rPr>
            <w:t xml:space="preserve"> </w:t>
          </w:r>
        </w:p>
      </w:tc>
    </w:tr>
    <w:bookmarkEnd w:id="40"/>
    <w:tr w:rsidR="00B444FF" w:rsidTr="008612A9">
      <w:trPr>
        <w:trHeight w:val="213"/>
        <w:jc w:val="center"/>
      </w:trPr>
      <w:tc>
        <w:tcPr>
          <w:tcW w:w="3794" w:type="dxa"/>
          <w:vMerge w:val="restart"/>
          <w:shd w:val="clear" w:color="auto" w:fill="FFFFFF"/>
          <w:tcMar>
            <w:left w:w="0" w:type="dxa"/>
            <w:right w:w="0" w:type="dxa"/>
          </w:tcMar>
        </w:tcPr>
        <w:p w:rsidR="00ED54E0" w:rsidRPr="009239F7" w:rsidRDefault="0017110A"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B444FF"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17110A" w:rsidRDefault="0017110A" w:rsidP="00B801E9">
          <w:pPr>
            <w:jc w:val="right"/>
            <w:rPr>
              <w:b/>
              <w:szCs w:val="16"/>
            </w:rPr>
          </w:pPr>
          <w:bookmarkStart w:id="41" w:name="bmkSymbols"/>
          <w:r>
            <w:rPr>
              <w:b/>
              <w:szCs w:val="16"/>
            </w:rPr>
            <w:t>G/TBT/N/</w:t>
          </w:r>
          <w:proofErr w:type="spellStart"/>
          <w:r>
            <w:rPr>
              <w:b/>
              <w:szCs w:val="16"/>
            </w:rPr>
            <w:t>PHL</w:t>
          </w:r>
          <w:proofErr w:type="spellEnd"/>
          <w:r>
            <w:rPr>
              <w:b/>
              <w:szCs w:val="16"/>
            </w:rPr>
            <w:t>/212</w:t>
          </w:r>
        </w:p>
        <w:bookmarkEnd w:id="41"/>
        <w:p w:rsidR="009239F7" w:rsidRPr="002F6A28" w:rsidRDefault="009239F7" w:rsidP="00B801E9">
          <w:pPr>
            <w:jc w:val="right"/>
            <w:rPr>
              <w:b/>
              <w:szCs w:val="16"/>
            </w:rPr>
          </w:pPr>
        </w:p>
      </w:tc>
    </w:tr>
    <w:tr w:rsidR="00B444FF"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FF2BDB" w:rsidP="00B801E9">
          <w:pPr>
            <w:jc w:val="right"/>
            <w:rPr>
              <w:szCs w:val="16"/>
            </w:rPr>
          </w:pPr>
          <w:bookmarkStart w:id="42" w:name="spsDateDistribution"/>
          <w:bookmarkStart w:id="43" w:name="bmkDate"/>
          <w:bookmarkEnd w:id="42"/>
          <w:bookmarkEnd w:id="43"/>
          <w:r>
            <w:rPr>
              <w:szCs w:val="16"/>
            </w:rPr>
            <w:t>3 April 2019</w:t>
          </w:r>
          <w:bookmarkStart w:id="44" w:name="_GoBack"/>
          <w:bookmarkEnd w:id="44"/>
        </w:p>
      </w:tc>
    </w:tr>
    <w:tr w:rsidR="00B444F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044ED" w:rsidP="0097650D">
          <w:pPr>
            <w:jc w:val="left"/>
            <w:rPr>
              <w:b/>
            </w:rPr>
          </w:pPr>
          <w:bookmarkStart w:id="45" w:name="bmkSerial"/>
          <w:r w:rsidRPr="002F6A28">
            <w:rPr>
              <w:color w:val="FF0000"/>
              <w:szCs w:val="16"/>
            </w:rPr>
            <w:t>(</w:t>
          </w:r>
          <w:bookmarkStart w:id="46" w:name="spsSerialNumber"/>
          <w:bookmarkEnd w:id="46"/>
          <w:r w:rsidR="00FF2BDB">
            <w:rPr>
              <w:color w:val="FF0000"/>
              <w:szCs w:val="16"/>
            </w:rPr>
            <w:t>19-2116</w:t>
          </w:r>
          <w:r w:rsidRPr="002F6A28">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rsidR="00ED54E0" w:rsidRPr="009239F7" w:rsidRDefault="008044ED" w:rsidP="00B801E9">
          <w:pPr>
            <w:jc w:val="right"/>
            <w:rPr>
              <w:szCs w:val="16"/>
            </w:rPr>
          </w:pPr>
          <w:bookmarkStart w:id="4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7"/>
        </w:p>
      </w:tc>
    </w:tr>
    <w:tr w:rsidR="00B444F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7110A" w:rsidP="00B801E9">
          <w:pPr>
            <w:jc w:val="left"/>
            <w:rPr>
              <w:sz w:val="14"/>
              <w:szCs w:val="16"/>
            </w:rPr>
          </w:pPr>
          <w:bookmarkStart w:id="48" w:name="bmkCommittee"/>
          <w:r>
            <w:rPr>
              <w:b/>
            </w:rPr>
            <w:t>Committee on Technical Barriers to Trade</w:t>
          </w:r>
          <w:bookmarkEnd w:id="48"/>
        </w:p>
      </w:tc>
      <w:tc>
        <w:tcPr>
          <w:tcW w:w="3325" w:type="dxa"/>
          <w:tcBorders>
            <w:top w:val="single" w:sz="4" w:space="0" w:color="auto"/>
          </w:tcBorders>
          <w:tcMar>
            <w:top w:w="113" w:type="dxa"/>
            <w:left w:w="108" w:type="dxa"/>
            <w:bottom w:w="57" w:type="dxa"/>
            <w:right w:w="108" w:type="dxa"/>
          </w:tcMar>
          <w:vAlign w:val="center"/>
        </w:tcPr>
        <w:p w:rsidR="00ED54E0" w:rsidRPr="002F6A28" w:rsidRDefault="0017110A" w:rsidP="00B801E9">
          <w:pPr>
            <w:jc w:val="right"/>
            <w:rPr>
              <w:bCs/>
              <w:szCs w:val="18"/>
            </w:rPr>
          </w:pPr>
          <w:bookmarkStart w:id="49" w:name="bmkLanguage"/>
          <w:r>
            <w:rPr>
              <w:bCs/>
              <w:szCs w:val="18"/>
            </w:rPr>
            <w:t>Original: English</w:t>
          </w:r>
          <w:bookmarkEnd w:id="49"/>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2C81672">
      <w:start w:val="1"/>
      <w:numFmt w:val="decimal"/>
      <w:pStyle w:val="SummaryText"/>
      <w:lvlText w:val="%1."/>
      <w:lvlJc w:val="left"/>
      <w:pPr>
        <w:ind w:left="360" w:hanging="360"/>
      </w:pPr>
    </w:lvl>
    <w:lvl w:ilvl="1" w:tplc="98E06876" w:tentative="1">
      <w:start w:val="1"/>
      <w:numFmt w:val="lowerLetter"/>
      <w:lvlText w:val="%2."/>
      <w:lvlJc w:val="left"/>
      <w:pPr>
        <w:ind w:left="1080" w:hanging="360"/>
      </w:pPr>
    </w:lvl>
    <w:lvl w:ilvl="2" w:tplc="0A3CEFF4" w:tentative="1">
      <w:start w:val="1"/>
      <w:numFmt w:val="lowerRoman"/>
      <w:lvlText w:val="%3."/>
      <w:lvlJc w:val="right"/>
      <w:pPr>
        <w:ind w:left="1800" w:hanging="180"/>
      </w:pPr>
    </w:lvl>
    <w:lvl w:ilvl="3" w:tplc="0A7C8A78" w:tentative="1">
      <w:start w:val="1"/>
      <w:numFmt w:val="decimal"/>
      <w:lvlText w:val="%4."/>
      <w:lvlJc w:val="left"/>
      <w:pPr>
        <w:ind w:left="2520" w:hanging="360"/>
      </w:pPr>
    </w:lvl>
    <w:lvl w:ilvl="4" w:tplc="B2DAC992" w:tentative="1">
      <w:start w:val="1"/>
      <w:numFmt w:val="lowerLetter"/>
      <w:lvlText w:val="%5."/>
      <w:lvlJc w:val="left"/>
      <w:pPr>
        <w:ind w:left="3240" w:hanging="360"/>
      </w:pPr>
    </w:lvl>
    <w:lvl w:ilvl="5" w:tplc="7944C414" w:tentative="1">
      <w:start w:val="1"/>
      <w:numFmt w:val="lowerRoman"/>
      <w:lvlText w:val="%6."/>
      <w:lvlJc w:val="right"/>
      <w:pPr>
        <w:ind w:left="3960" w:hanging="180"/>
      </w:pPr>
    </w:lvl>
    <w:lvl w:ilvl="6" w:tplc="A50C3956" w:tentative="1">
      <w:start w:val="1"/>
      <w:numFmt w:val="decimal"/>
      <w:lvlText w:val="%7."/>
      <w:lvlJc w:val="left"/>
      <w:pPr>
        <w:ind w:left="4680" w:hanging="360"/>
      </w:pPr>
    </w:lvl>
    <w:lvl w:ilvl="7" w:tplc="E46A3E40" w:tentative="1">
      <w:start w:val="1"/>
      <w:numFmt w:val="lowerLetter"/>
      <w:lvlText w:val="%8."/>
      <w:lvlJc w:val="left"/>
      <w:pPr>
        <w:ind w:left="5400" w:hanging="360"/>
      </w:pPr>
    </w:lvl>
    <w:lvl w:ilvl="8" w:tplc="8A2ADB4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92895FE">
      <w:start w:val="1"/>
      <w:numFmt w:val="bullet"/>
      <w:lvlText w:val=""/>
      <w:lvlJc w:val="left"/>
      <w:pPr>
        <w:ind w:left="720" w:hanging="360"/>
      </w:pPr>
      <w:rPr>
        <w:rFonts w:ascii="Symbol" w:hAnsi="Symbol"/>
      </w:rPr>
    </w:lvl>
    <w:lvl w:ilvl="1" w:tplc="AFB2D9F0">
      <w:start w:val="1"/>
      <w:numFmt w:val="bullet"/>
      <w:lvlText w:val="o"/>
      <w:lvlJc w:val="left"/>
      <w:pPr>
        <w:tabs>
          <w:tab w:val="num" w:pos="1440"/>
        </w:tabs>
        <w:ind w:left="1440" w:hanging="360"/>
      </w:pPr>
      <w:rPr>
        <w:rFonts w:ascii="Courier New" w:hAnsi="Courier New"/>
      </w:rPr>
    </w:lvl>
    <w:lvl w:ilvl="2" w:tplc="8DF6B6A0">
      <w:start w:val="1"/>
      <w:numFmt w:val="bullet"/>
      <w:lvlText w:val=""/>
      <w:lvlJc w:val="left"/>
      <w:pPr>
        <w:tabs>
          <w:tab w:val="num" w:pos="2160"/>
        </w:tabs>
        <w:ind w:left="2160" w:hanging="360"/>
      </w:pPr>
      <w:rPr>
        <w:rFonts w:ascii="Wingdings" w:hAnsi="Wingdings"/>
      </w:rPr>
    </w:lvl>
    <w:lvl w:ilvl="3" w:tplc="CB54E988">
      <w:start w:val="1"/>
      <w:numFmt w:val="bullet"/>
      <w:lvlText w:val=""/>
      <w:lvlJc w:val="left"/>
      <w:pPr>
        <w:tabs>
          <w:tab w:val="num" w:pos="2880"/>
        </w:tabs>
        <w:ind w:left="2880" w:hanging="360"/>
      </w:pPr>
      <w:rPr>
        <w:rFonts w:ascii="Symbol" w:hAnsi="Symbol"/>
      </w:rPr>
    </w:lvl>
    <w:lvl w:ilvl="4" w:tplc="8A288A84">
      <w:start w:val="1"/>
      <w:numFmt w:val="bullet"/>
      <w:lvlText w:val="o"/>
      <w:lvlJc w:val="left"/>
      <w:pPr>
        <w:tabs>
          <w:tab w:val="num" w:pos="3600"/>
        </w:tabs>
        <w:ind w:left="3600" w:hanging="360"/>
      </w:pPr>
      <w:rPr>
        <w:rFonts w:ascii="Courier New" w:hAnsi="Courier New"/>
      </w:rPr>
    </w:lvl>
    <w:lvl w:ilvl="5" w:tplc="8BBE961A">
      <w:start w:val="1"/>
      <w:numFmt w:val="bullet"/>
      <w:lvlText w:val=""/>
      <w:lvlJc w:val="left"/>
      <w:pPr>
        <w:tabs>
          <w:tab w:val="num" w:pos="4320"/>
        </w:tabs>
        <w:ind w:left="4320" w:hanging="360"/>
      </w:pPr>
      <w:rPr>
        <w:rFonts w:ascii="Wingdings" w:hAnsi="Wingdings"/>
      </w:rPr>
    </w:lvl>
    <w:lvl w:ilvl="6" w:tplc="FBB02F2A">
      <w:start w:val="1"/>
      <w:numFmt w:val="bullet"/>
      <w:lvlText w:val=""/>
      <w:lvlJc w:val="left"/>
      <w:pPr>
        <w:tabs>
          <w:tab w:val="num" w:pos="5040"/>
        </w:tabs>
        <w:ind w:left="5040" w:hanging="360"/>
      </w:pPr>
      <w:rPr>
        <w:rFonts w:ascii="Symbol" w:hAnsi="Symbol"/>
      </w:rPr>
    </w:lvl>
    <w:lvl w:ilvl="7" w:tplc="EC5E8BA8">
      <w:start w:val="1"/>
      <w:numFmt w:val="bullet"/>
      <w:lvlText w:val="o"/>
      <w:lvlJc w:val="left"/>
      <w:pPr>
        <w:tabs>
          <w:tab w:val="num" w:pos="5760"/>
        </w:tabs>
        <w:ind w:left="5760" w:hanging="360"/>
      </w:pPr>
      <w:rPr>
        <w:rFonts w:ascii="Courier New" w:hAnsi="Courier New"/>
      </w:rPr>
    </w:lvl>
    <w:lvl w:ilvl="8" w:tplc="2100862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0E2266"/>
    <w:rsid w:val="00110954"/>
    <w:rsid w:val="0011356B"/>
    <w:rsid w:val="001157E9"/>
    <w:rsid w:val="001206E6"/>
    <w:rsid w:val="00125032"/>
    <w:rsid w:val="0013337F"/>
    <w:rsid w:val="00155128"/>
    <w:rsid w:val="001621F4"/>
    <w:rsid w:val="0017110A"/>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C68FA"/>
    <w:rsid w:val="004E51B2"/>
    <w:rsid w:val="004F203A"/>
    <w:rsid w:val="005059E2"/>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44ED"/>
    <w:rsid w:val="008055FB"/>
    <w:rsid w:val="00807247"/>
    <w:rsid w:val="00812D1D"/>
    <w:rsid w:val="008159AC"/>
    <w:rsid w:val="00832EE1"/>
    <w:rsid w:val="008378EF"/>
    <w:rsid w:val="00840C2B"/>
    <w:rsid w:val="00853021"/>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2D58"/>
    <w:rsid w:val="00955D8A"/>
    <w:rsid w:val="00964F4F"/>
    <w:rsid w:val="00975488"/>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444FF"/>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2BD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15E62"/>
  <w15:docId w15:val="{E5546AED-8167-42A9-ACED-ADE1885A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0E2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fda.gov.ph" TargetMode="External"/><Relationship Id="rId13" Type="http://schemas.openxmlformats.org/officeDocument/2006/relationships/hyperlink" Target="http://www.fda.gov.p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ppayas@fda.gov.p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da.gov.p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da.gov.p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ppayas@fda.gov.ph" TargetMode="External"/><Relationship Id="rId14" Type="http://schemas.openxmlformats.org/officeDocument/2006/relationships/hyperlink" Target="https://members.wto.org/crnattachments/2019/TBT/PHL/19_1876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9B2E-4547-4EDB-A5D1-514112EF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641</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10</cp:revision>
  <dcterms:created xsi:type="dcterms:W3CDTF">2019-04-02T11:20:00Z</dcterms:created>
  <dcterms:modified xsi:type="dcterms:W3CDTF">2019-04-03T12:52:00Z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G/TBT/N/PHL/212</vt:lpwstr>
  </property>
</Properties>
</file>