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F34AC0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F34AC0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B27AA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F34AC0" w:rsidP="009A1F37">
            <w:pPr>
              <w:spacing w:before="120" w:after="120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F34AC0" w:rsidP="009A1F37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Philippines</w:t>
            </w:r>
            <w:bookmarkEnd w:id="1"/>
            <w:r w:rsidRPr="002F6A28">
              <w:t xml:space="preserve"> </w:t>
            </w:r>
          </w:p>
          <w:p w:rsidR="00F85C99" w:rsidRPr="002F6A28" w:rsidRDefault="00F34AC0" w:rsidP="009A1F37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DB27A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34AC0" w:rsidP="009A1F37">
            <w:pPr>
              <w:spacing w:before="120" w:after="120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34AC0" w:rsidP="009A1F37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Department of Health - Food and Drug Administration</w:t>
            </w:r>
            <w:bookmarkEnd w:id="5"/>
          </w:p>
          <w:p w:rsidR="00F85C99" w:rsidRPr="002F6A28" w:rsidRDefault="00F34AC0" w:rsidP="009A1F37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DB27AA" w:rsidRPr="00F37976" w:rsidRDefault="00F34AC0" w:rsidP="009A1F37">
            <w:pPr>
              <w:rPr>
                <w:lang w:val="es-ES"/>
              </w:rPr>
            </w:pPr>
            <w:proofErr w:type="spellStart"/>
            <w:r w:rsidRPr="00F37976">
              <w:rPr>
                <w:lang w:val="es-ES"/>
              </w:rPr>
              <w:t>Engr</w:t>
            </w:r>
            <w:proofErr w:type="spellEnd"/>
            <w:r w:rsidRPr="00F37976">
              <w:rPr>
                <w:lang w:val="es-ES"/>
              </w:rPr>
              <w:t xml:space="preserve">. </w:t>
            </w:r>
            <w:proofErr w:type="spellStart"/>
            <w:r w:rsidRPr="00F37976">
              <w:rPr>
                <w:lang w:val="es-ES"/>
              </w:rPr>
              <w:t>Bayani</w:t>
            </w:r>
            <w:proofErr w:type="spellEnd"/>
            <w:r w:rsidRPr="00F37976">
              <w:rPr>
                <w:lang w:val="es-ES"/>
              </w:rPr>
              <w:t xml:space="preserve"> C. San Juan, </w:t>
            </w:r>
            <w:proofErr w:type="gramStart"/>
            <w:r w:rsidRPr="00F37976">
              <w:rPr>
                <w:lang w:val="es-ES"/>
              </w:rPr>
              <w:t>Director</w:t>
            </w:r>
            <w:proofErr w:type="gramEnd"/>
            <w:r w:rsidRPr="00F37976">
              <w:rPr>
                <w:lang w:val="es-ES"/>
              </w:rPr>
              <w:t xml:space="preserve"> IV</w:t>
            </w:r>
          </w:p>
          <w:p w:rsidR="00DB27AA" w:rsidRPr="002F6A28" w:rsidRDefault="00F34AC0" w:rsidP="009A1F37">
            <w:proofErr w:type="spellStart"/>
            <w:r w:rsidRPr="002F6A28">
              <w:t>Center</w:t>
            </w:r>
            <w:proofErr w:type="spellEnd"/>
            <w:r w:rsidRPr="002F6A28">
              <w:t xml:space="preserve"> for Device Regulation, Radiation Health, and Research (</w:t>
            </w:r>
            <w:proofErr w:type="spellStart"/>
            <w:r w:rsidRPr="002F6A28">
              <w:t>CDRRHR</w:t>
            </w:r>
            <w:proofErr w:type="spellEnd"/>
            <w:r w:rsidRPr="002F6A28">
              <w:t>)</w:t>
            </w:r>
          </w:p>
          <w:p w:rsidR="00DB27AA" w:rsidRPr="002F6A28" w:rsidRDefault="00F34AC0" w:rsidP="009A1F37">
            <w:r w:rsidRPr="002F6A28">
              <w:t>Civic Drive, Filinvest Corporate City, Alabang 1781 Muntinlupa, Philippines</w:t>
            </w:r>
          </w:p>
          <w:p w:rsidR="00DB27AA" w:rsidRPr="002F6A28" w:rsidRDefault="00F34AC0" w:rsidP="009A1F37">
            <w:r w:rsidRPr="002F6A28">
              <w:t xml:space="preserve">+632.857.1900 </w:t>
            </w:r>
            <w:proofErr w:type="spellStart"/>
            <w:r w:rsidRPr="002F6A28">
              <w:t>loc</w:t>
            </w:r>
            <w:proofErr w:type="spellEnd"/>
            <w:r w:rsidRPr="002F6A28">
              <w:t xml:space="preserve"> 8301</w:t>
            </w:r>
          </w:p>
          <w:p w:rsidR="004C16E2" w:rsidRPr="002F6A28" w:rsidRDefault="00D61ACB" w:rsidP="009A1F37">
            <w:hyperlink r:id="rId7" w:history="1">
              <w:r w:rsidR="004C16E2" w:rsidRPr="00F91777">
                <w:rPr>
                  <w:rStyle w:val="Lienhypertexte"/>
                </w:rPr>
                <w:t>info@fda.gov.ph</w:t>
              </w:r>
            </w:hyperlink>
            <w:r w:rsidR="004C16E2">
              <w:t xml:space="preserve"> </w:t>
            </w:r>
            <w:r w:rsidR="00F34AC0" w:rsidRPr="002F6A28">
              <w:t>/</w:t>
            </w:r>
            <w:r w:rsidR="004C16E2">
              <w:t xml:space="preserve"> </w:t>
            </w:r>
            <w:hyperlink r:id="rId8" w:history="1">
              <w:r w:rsidR="004C16E2" w:rsidRPr="00F91777">
                <w:rPr>
                  <w:rStyle w:val="Lienhypertexte"/>
                </w:rPr>
                <w:t>eppayas@fda.gov.ph</w:t>
              </w:r>
            </w:hyperlink>
          </w:p>
          <w:p w:rsidR="004C16E2" w:rsidRPr="002F6A28" w:rsidRDefault="00D61ACB" w:rsidP="009A1F37">
            <w:pPr>
              <w:spacing w:after="120"/>
            </w:pPr>
            <w:hyperlink r:id="rId9" w:history="1">
              <w:r w:rsidR="004C16E2" w:rsidRPr="00F91777">
                <w:rPr>
                  <w:rStyle w:val="Lienhypertexte"/>
                </w:rPr>
                <w:t>www.fda.gov.ph</w:t>
              </w:r>
            </w:hyperlink>
            <w:bookmarkEnd w:id="7"/>
          </w:p>
        </w:tc>
      </w:tr>
      <w:tr w:rsidR="00DB27A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34AC0" w:rsidP="009A1F37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F34AC0" w:rsidP="009A1F37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End w:id="16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7" w:name="tbt3e"/>
            <w:bookmarkEnd w:id="17"/>
          </w:p>
        </w:tc>
      </w:tr>
      <w:tr w:rsidR="00DB27A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34AC0" w:rsidP="009A1F37">
            <w:pPr>
              <w:spacing w:before="120" w:after="120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34AC0" w:rsidP="009A1F37">
            <w:pPr>
              <w:spacing w:before="120" w:after="120"/>
            </w:pPr>
            <w:bookmarkStart w:id="18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9" w:name="sps3a"/>
            <w:r w:rsidRPr="002F6A28">
              <w:rPr>
                <w:bCs/>
              </w:rPr>
              <w:t>Water treatment devices/systems which product water is for drinking purposes; Water quality (ICS 13.060)</w:t>
            </w:r>
            <w:bookmarkEnd w:id="19"/>
          </w:p>
        </w:tc>
      </w:tr>
      <w:tr w:rsidR="00DB27A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34AC0" w:rsidP="009A1F37">
            <w:pPr>
              <w:spacing w:before="120" w:after="12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34AC0" w:rsidP="009A1F37">
            <w:pPr>
              <w:spacing w:before="120" w:after="120"/>
            </w:pPr>
            <w:bookmarkStart w:id="20" w:name="X_TBT_Reg_5A"/>
            <w:r w:rsidRPr="002F6A28">
              <w:rPr>
                <w:b/>
              </w:rPr>
              <w:t>Title, number of pages and language(s) of the notified document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1" w:name="sps5a"/>
            <w:r w:rsidRPr="002F6A28">
              <w:t>Draft Administrative Order No. __</w:t>
            </w:r>
            <w:proofErr w:type="gramStart"/>
            <w:r w:rsidRPr="002F6A28">
              <w:t>_ :</w:t>
            </w:r>
            <w:proofErr w:type="gramEnd"/>
            <w:r w:rsidRPr="002F6A28">
              <w:t xml:space="preserve"> Policies and Guidelines on the Regulation of Water Treatment Devices/ Systems in the Philippines (14 page(s), in English)</w:t>
            </w:r>
            <w:bookmarkStart w:id="22" w:name="sps5c"/>
            <w:bookmarkStart w:id="23" w:name="sps5b"/>
            <w:bookmarkEnd w:id="21"/>
            <w:bookmarkEnd w:id="22"/>
            <w:bookmarkEnd w:id="23"/>
          </w:p>
        </w:tc>
      </w:tr>
      <w:tr w:rsidR="00DB27A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34AC0" w:rsidP="009A1F37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34AC0" w:rsidP="009A1F37">
            <w:pPr>
              <w:spacing w:before="120" w:after="120"/>
              <w:rPr>
                <w:b/>
              </w:rPr>
            </w:pPr>
            <w:bookmarkStart w:id="24" w:name="X_TBT_Reg_6A"/>
            <w:r w:rsidRPr="002F6A28">
              <w:rPr>
                <w:b/>
              </w:rPr>
              <w:t>Description of content</w:t>
            </w:r>
            <w:bookmarkEnd w:id="24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r w:rsidRPr="002F6A28">
              <w:rPr>
                <w:lang w:eastAsia="en-GB"/>
              </w:rPr>
              <w:t xml:space="preserve">The proposed policy covers the manufactures, exporters, importers and distributors including establishments that assemble, repackage and re-label water treatment systems or devices </w:t>
            </w:r>
            <w:proofErr w:type="gramStart"/>
            <w:r w:rsidRPr="002F6A28">
              <w:rPr>
                <w:lang w:eastAsia="en-GB"/>
              </w:rPr>
              <w:t>for the purpose of</w:t>
            </w:r>
            <w:proofErr w:type="gramEnd"/>
            <w:r w:rsidRPr="002F6A28">
              <w:rPr>
                <w:lang w:eastAsia="en-GB"/>
              </w:rPr>
              <w:t xml:space="preserve"> donation, promotion, giving free of charge, selling or commercial distribution in the Philippines. Furthermore, the guidelines also cover establishments that sell, install and/or provide repair and maintenance of water treatment system for local water district/water service provider, water refilling station, household, institution, food establishment, office and other commercial establishments.</w:t>
            </w:r>
          </w:p>
          <w:p w:rsidR="00DB27AA" w:rsidRPr="002F6A28" w:rsidRDefault="00F34AC0" w:rsidP="009A1F37">
            <w:pPr>
              <w:spacing w:before="120" w:after="120"/>
            </w:pPr>
            <w:r w:rsidRPr="002F6A28">
              <w:rPr>
                <w:lang w:eastAsia="en-GB"/>
              </w:rPr>
              <w:t>Water treatment systems used in the production of bottled water are not covered by these guidelines.</w:t>
            </w:r>
          </w:p>
          <w:p w:rsidR="00DB27AA" w:rsidRPr="002F6A28" w:rsidRDefault="00F34AC0" w:rsidP="009A1F37">
            <w:pPr>
              <w:spacing w:before="120" w:after="120"/>
            </w:pPr>
            <w:r w:rsidRPr="002F6A28">
              <w:rPr>
                <w:lang w:eastAsia="en-GB"/>
              </w:rPr>
              <w:t>The proposed policy is an amendment of the Department of Health Administrative Order 2005- 0003 entitled "Guidelines on the Issuance of Certificate of Product Registration for Water Purification Equipment and Devices" and its subsequent amendments (AO 2005-0003-A, AO 2005-0003-B, AO 2005-0003-C).</w:t>
            </w:r>
          </w:p>
          <w:p w:rsidR="00DB27AA" w:rsidRPr="002F6A28" w:rsidRDefault="00F34AC0" w:rsidP="009A1F37">
            <w:pPr>
              <w:spacing w:before="120" w:after="120"/>
            </w:pPr>
            <w:r w:rsidRPr="002F6A28">
              <w:rPr>
                <w:lang w:eastAsia="en-GB"/>
              </w:rPr>
              <w:t>The regulatory agency that will implement the proposed policy is the Department of Health – Food and Drug Administration.</w:t>
            </w:r>
            <w:r w:rsidRPr="002F6A28">
              <w:t> </w:t>
            </w:r>
          </w:p>
        </w:tc>
      </w:tr>
      <w:tr w:rsidR="00DB27A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34AC0" w:rsidP="009A1F37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34AC0" w:rsidP="009A1F37">
            <w:pPr>
              <w:spacing w:before="120" w:after="120"/>
              <w:rPr>
                <w:b/>
              </w:rPr>
            </w:pPr>
            <w:bookmarkStart w:id="25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6" w:name="sps7f"/>
            <w:r w:rsidRPr="002F6A28">
              <w:t>This Administrative Order is promulgated to innovate and improve the regulation of water treatment devices/systems in the Philippines. Specifically, this AO aims to:</w:t>
            </w:r>
          </w:p>
          <w:p w:rsidR="00DB27AA" w:rsidRPr="002F6A28" w:rsidRDefault="00F34AC0" w:rsidP="009A1F37">
            <w:pPr>
              <w:spacing w:before="120" w:after="120"/>
            </w:pPr>
            <w:r w:rsidRPr="002F6A28">
              <w:t>1. Align and harmonize the regulation of water treatment devices/systems with the regulation of other health products under the jurisdiction of the FDA.</w:t>
            </w:r>
          </w:p>
          <w:p w:rsidR="00DB27AA" w:rsidRPr="002F6A28" w:rsidRDefault="00F34AC0" w:rsidP="009A1F37">
            <w:pPr>
              <w:spacing w:before="120" w:after="120"/>
            </w:pPr>
            <w:r w:rsidRPr="002F6A28">
              <w:t>2. Establish rules and regulations for:</w:t>
            </w:r>
          </w:p>
          <w:p w:rsidR="00DB27AA" w:rsidRPr="002F6A28" w:rsidRDefault="00F34AC0" w:rsidP="00A97889">
            <w:pPr>
              <w:pStyle w:val="Corpsdetexte2"/>
              <w:spacing w:after="120"/>
            </w:pPr>
            <w:r w:rsidRPr="002F6A28">
              <w:t>licensing of establishments covered by this AO</w:t>
            </w:r>
          </w:p>
          <w:p w:rsidR="00DB27AA" w:rsidRPr="002F6A28" w:rsidRDefault="00F34AC0" w:rsidP="00A97889">
            <w:pPr>
              <w:pStyle w:val="Corpsdetexte2"/>
              <w:spacing w:after="120"/>
            </w:pPr>
            <w:r w:rsidRPr="002F6A28">
              <w:t>registration of water purification devices/systems</w:t>
            </w:r>
          </w:p>
          <w:p w:rsidR="00DB27AA" w:rsidRPr="002F6A28" w:rsidRDefault="00F34AC0" w:rsidP="00A97889">
            <w:pPr>
              <w:pStyle w:val="Corpsdetexte2"/>
              <w:spacing w:after="120"/>
            </w:pPr>
            <w:r w:rsidRPr="002F6A28">
              <w:t>packaging and labelling requirements for registered water treatment devices/systems</w:t>
            </w:r>
          </w:p>
          <w:p w:rsidR="00F34AC0" w:rsidRDefault="00F34AC0" w:rsidP="00A97889">
            <w:pPr>
              <w:pStyle w:val="Corpsdetexte2"/>
              <w:spacing w:after="120"/>
            </w:pPr>
            <w:r w:rsidRPr="002F6A28">
              <w:t xml:space="preserve">donated water purification devices/systems; </w:t>
            </w:r>
          </w:p>
          <w:p w:rsidR="00DB27AA" w:rsidRPr="002F6A28" w:rsidRDefault="00F34AC0" w:rsidP="00F34AC0">
            <w:pPr>
              <w:spacing w:before="120" w:after="120"/>
            </w:pPr>
            <w:r w:rsidRPr="002F6A28">
              <w:t>Consumer information, labelling; Prevention of deceptive practices and consumer protection; Protection of human health or safety</w:t>
            </w:r>
            <w:bookmarkEnd w:id="26"/>
          </w:p>
        </w:tc>
      </w:tr>
      <w:tr w:rsidR="00DB27A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34AC0" w:rsidP="009A1F37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F34AC0" w:rsidP="009A1F37">
            <w:pPr>
              <w:spacing w:before="120" w:after="120"/>
            </w:pPr>
            <w:bookmarkStart w:id="27" w:name="X_TBT_Reg_8A"/>
            <w:r w:rsidRPr="002F6A28">
              <w:rPr>
                <w:b/>
              </w:rPr>
              <w:t>Relevant documents</w:t>
            </w:r>
            <w:bookmarkEnd w:id="27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DB27AA" w:rsidRPr="002F6A28" w:rsidRDefault="00F34AC0" w:rsidP="009A1F3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bookmarkStart w:id="28" w:name="sps9a"/>
            <w:r w:rsidRPr="002F6A28">
              <w:rPr>
                <w:bCs/>
              </w:rPr>
              <w:t>PD 856 - Code on Sanitation of the Philippines</w:t>
            </w:r>
          </w:p>
          <w:p w:rsidR="00DB27AA" w:rsidRPr="002F6A28" w:rsidRDefault="00F34AC0" w:rsidP="009A1F3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Administrative Order 2005-0003 - Guidelines on the Issuance of Certificate of Product Registration for Water Purification Equipment and Devices</w:t>
            </w:r>
          </w:p>
          <w:p w:rsidR="00DB27AA" w:rsidRPr="002F6A28" w:rsidRDefault="00F34AC0" w:rsidP="009A1F3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Administrative Order 2005-0003-A</w:t>
            </w:r>
          </w:p>
          <w:p w:rsidR="00DB27AA" w:rsidRPr="002F6A28" w:rsidRDefault="00F34AC0" w:rsidP="009A1F3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Administrative Order 2005-0003-B</w:t>
            </w:r>
          </w:p>
          <w:p w:rsidR="00DB27AA" w:rsidRPr="002F6A28" w:rsidRDefault="00F34AC0" w:rsidP="009A1F3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Administrative Order 2005-0003-C</w:t>
            </w:r>
          </w:p>
          <w:p w:rsidR="00DB27AA" w:rsidRPr="000E3FBD" w:rsidRDefault="00F34AC0" w:rsidP="009A1F3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Republic Act 9711 - "Food and Drug Administration (FDA) Act of 2009"</w:t>
            </w:r>
            <w:bookmarkStart w:id="29" w:name="sps9b"/>
            <w:bookmarkEnd w:id="28"/>
            <w:bookmarkEnd w:id="29"/>
          </w:p>
        </w:tc>
      </w:tr>
      <w:tr w:rsidR="00DB27AA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F34AC0" w:rsidP="009A1F37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F34AC0" w:rsidP="009A1F37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This Order shall take effect 15 days after its publication in a national newspaper of general circulation.</w:t>
            </w:r>
            <w:bookmarkEnd w:id="32"/>
          </w:p>
          <w:p w:rsidR="00EE3A11" w:rsidRPr="002F6A28" w:rsidRDefault="00F34AC0" w:rsidP="009A1F37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This Order shall take effect 15 days after its publication in a national newspaper of general circulation.</w:t>
            </w:r>
            <w:bookmarkEnd w:id="35"/>
          </w:p>
        </w:tc>
      </w:tr>
      <w:tr w:rsidR="00DB27A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34AC0" w:rsidP="009A1F37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34AC0" w:rsidP="009A1F37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7" w:name="sps12a"/>
            <w:r w:rsidRPr="002F6A28">
              <w:rPr>
                <w:bCs/>
              </w:rPr>
              <w:t>60 days from notification</w:t>
            </w:r>
            <w:bookmarkEnd w:id="37"/>
          </w:p>
        </w:tc>
      </w:tr>
      <w:tr w:rsidR="00DB27AA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F34AC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F34AC0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DB27AA" w:rsidRPr="002F6A28" w:rsidRDefault="00F34AC0" w:rsidP="00B16145">
            <w:pPr>
              <w:keepNext/>
              <w:keepLines/>
            </w:pPr>
            <w:proofErr w:type="spellStart"/>
            <w:r w:rsidRPr="002F6A28">
              <w:t>Center</w:t>
            </w:r>
            <w:proofErr w:type="spellEnd"/>
            <w:r w:rsidRPr="002F6A28">
              <w:t xml:space="preserve"> for Device Regulation, Radiation Health, and Research (</w:t>
            </w:r>
            <w:proofErr w:type="spellStart"/>
            <w:r w:rsidRPr="002F6A28">
              <w:t>CDRRHR</w:t>
            </w:r>
            <w:proofErr w:type="spellEnd"/>
            <w:r w:rsidRPr="002F6A28">
              <w:t>)</w:t>
            </w:r>
          </w:p>
          <w:p w:rsidR="00DB27AA" w:rsidRPr="002F6A28" w:rsidRDefault="00F34AC0" w:rsidP="00B16145">
            <w:pPr>
              <w:keepNext/>
              <w:keepLines/>
            </w:pPr>
            <w:r w:rsidRPr="002F6A28">
              <w:t>Civic Drive, Filinvest Corporate City, Alabang 1781 Muntinlupa, Philippines</w:t>
            </w:r>
          </w:p>
          <w:p w:rsidR="00DB27AA" w:rsidRPr="002F6A28" w:rsidRDefault="00F34AC0" w:rsidP="00B16145">
            <w:pPr>
              <w:keepNext/>
              <w:keepLines/>
            </w:pPr>
            <w:r w:rsidRPr="002F6A28">
              <w:t xml:space="preserve">+632.857.1900 </w:t>
            </w:r>
            <w:proofErr w:type="spellStart"/>
            <w:r w:rsidRPr="002F6A28">
              <w:t>loc</w:t>
            </w:r>
            <w:proofErr w:type="spellEnd"/>
            <w:r w:rsidRPr="002F6A28">
              <w:t xml:space="preserve"> 8301</w:t>
            </w:r>
          </w:p>
          <w:p w:rsidR="00DB27AA" w:rsidRDefault="00D61ACB" w:rsidP="00B16145">
            <w:pPr>
              <w:keepNext/>
              <w:keepLines/>
            </w:pPr>
            <w:hyperlink r:id="rId10" w:history="1">
              <w:r w:rsidR="003D11E4" w:rsidRPr="00F91777">
                <w:rPr>
                  <w:rStyle w:val="Lienhypertexte"/>
                </w:rPr>
                <w:t>info@fda.gov.ph</w:t>
              </w:r>
            </w:hyperlink>
            <w:r w:rsidR="00F34AC0" w:rsidRPr="002F6A28">
              <w:t xml:space="preserve"> / </w:t>
            </w:r>
            <w:hyperlink r:id="rId11" w:history="1">
              <w:r w:rsidR="003D11E4" w:rsidRPr="00F91777">
                <w:rPr>
                  <w:rStyle w:val="Lienhypertexte"/>
                </w:rPr>
                <w:t>eppayas@fda.gov.ph</w:t>
              </w:r>
            </w:hyperlink>
          </w:p>
          <w:p w:rsidR="00DB27AA" w:rsidRDefault="00D61ACB" w:rsidP="00B16145">
            <w:pPr>
              <w:keepNext/>
              <w:keepLines/>
              <w:spacing w:after="120"/>
            </w:pPr>
            <w:hyperlink r:id="rId12" w:history="1">
              <w:r w:rsidR="003D11E4" w:rsidRPr="00F91777">
                <w:rPr>
                  <w:rStyle w:val="Lienhypertexte"/>
                </w:rPr>
                <w:t>www.fda.gov.ph</w:t>
              </w:r>
            </w:hyperlink>
          </w:p>
          <w:p w:rsidR="00DB27AA" w:rsidRPr="002F6A28" w:rsidRDefault="00D61ACB" w:rsidP="00B16145">
            <w:pPr>
              <w:keepNext/>
              <w:keepLines/>
              <w:spacing w:before="120" w:after="120"/>
            </w:pPr>
            <w:hyperlink r:id="rId13" w:history="1">
              <w:r w:rsidR="00F34AC0" w:rsidRPr="002F6A28">
                <w:rPr>
                  <w:color w:val="0000FF"/>
                  <w:u w:val="single"/>
                </w:rPr>
                <w:t>https://members.wto.org/crnattachments/2019/TBT/PHL/19_1875_00_e.pdf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F3797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326" w:rsidRDefault="00F34AC0">
      <w:r>
        <w:separator/>
      </w:r>
    </w:p>
  </w:endnote>
  <w:endnote w:type="continuationSeparator" w:id="0">
    <w:p w:rsidR="00FD3326" w:rsidRDefault="00F3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F37976" w:rsidRDefault="00F37976" w:rsidP="00F3797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F37976" w:rsidRDefault="00F37976" w:rsidP="00F3797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F34AC0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326" w:rsidRDefault="00F34AC0">
      <w:r>
        <w:separator/>
      </w:r>
    </w:p>
  </w:footnote>
  <w:footnote w:type="continuationSeparator" w:id="0">
    <w:p w:rsidR="00FD3326" w:rsidRDefault="00F3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976" w:rsidRPr="00F37976" w:rsidRDefault="00F37976" w:rsidP="00F3797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7976">
      <w:t>G/TBT/N/</w:t>
    </w:r>
    <w:proofErr w:type="spellStart"/>
    <w:r w:rsidRPr="00F37976">
      <w:t>PHL</w:t>
    </w:r>
    <w:proofErr w:type="spellEnd"/>
    <w:r w:rsidRPr="00F37976">
      <w:t>/211</w:t>
    </w:r>
  </w:p>
  <w:p w:rsidR="00F37976" w:rsidRPr="00F37976" w:rsidRDefault="00F37976" w:rsidP="00F3797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37976" w:rsidRPr="00F37976" w:rsidRDefault="00F37976" w:rsidP="00F3797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7976">
      <w:t xml:space="preserve">- </w:t>
    </w:r>
    <w:r w:rsidRPr="00F37976">
      <w:fldChar w:fldCharType="begin"/>
    </w:r>
    <w:r w:rsidRPr="00F37976">
      <w:instrText xml:space="preserve"> PAGE </w:instrText>
    </w:r>
    <w:r w:rsidRPr="00F37976">
      <w:fldChar w:fldCharType="separate"/>
    </w:r>
    <w:r w:rsidRPr="00F37976">
      <w:rPr>
        <w:noProof/>
      </w:rPr>
      <w:t>2</w:t>
    </w:r>
    <w:r w:rsidRPr="00F37976">
      <w:fldChar w:fldCharType="end"/>
    </w:r>
    <w:r w:rsidRPr="00F37976">
      <w:t xml:space="preserve"> -</w:t>
    </w:r>
  </w:p>
  <w:p w:rsidR="009239F7" w:rsidRPr="00F37976" w:rsidRDefault="009239F7" w:rsidP="00F3797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976" w:rsidRPr="00F37976" w:rsidRDefault="00F37976" w:rsidP="00F3797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7976">
      <w:t>G/TBT/N/</w:t>
    </w:r>
    <w:proofErr w:type="spellStart"/>
    <w:r w:rsidRPr="00F37976">
      <w:t>PHL</w:t>
    </w:r>
    <w:proofErr w:type="spellEnd"/>
    <w:r w:rsidRPr="00F37976">
      <w:t>/211</w:t>
    </w:r>
  </w:p>
  <w:p w:rsidR="00F37976" w:rsidRPr="00F37976" w:rsidRDefault="00F37976" w:rsidP="00F3797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37976" w:rsidRPr="00F37976" w:rsidRDefault="00F37976" w:rsidP="00F3797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7976">
      <w:t xml:space="preserve">- </w:t>
    </w:r>
    <w:r w:rsidRPr="00F37976">
      <w:fldChar w:fldCharType="begin"/>
    </w:r>
    <w:r w:rsidRPr="00F37976">
      <w:instrText xml:space="preserve"> PAGE </w:instrText>
    </w:r>
    <w:r w:rsidRPr="00F37976">
      <w:fldChar w:fldCharType="separate"/>
    </w:r>
    <w:r w:rsidRPr="00F37976">
      <w:rPr>
        <w:noProof/>
      </w:rPr>
      <w:t>2</w:t>
    </w:r>
    <w:r w:rsidRPr="00F37976">
      <w:fldChar w:fldCharType="end"/>
    </w:r>
    <w:r w:rsidRPr="00F37976">
      <w:t xml:space="preserve"> -</w:t>
    </w:r>
  </w:p>
  <w:p w:rsidR="009239F7" w:rsidRPr="00F37976" w:rsidRDefault="009239F7" w:rsidP="00F3797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B27AA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F37976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2"/>
    <w:tr w:rsidR="00DB27AA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826DEC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B27AA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37976" w:rsidRDefault="00F37976" w:rsidP="00B801E9">
          <w:pPr>
            <w:jc w:val="right"/>
            <w:rPr>
              <w:b/>
              <w:szCs w:val="16"/>
            </w:rPr>
          </w:pPr>
          <w:bookmarkStart w:id="43" w:name="bmkSymbols"/>
          <w:r>
            <w:rPr>
              <w:b/>
              <w:szCs w:val="16"/>
            </w:rPr>
            <w:t>G/TBT/N/</w:t>
          </w:r>
          <w:proofErr w:type="spellStart"/>
          <w:r>
            <w:rPr>
              <w:b/>
              <w:szCs w:val="16"/>
            </w:rPr>
            <w:t>PHL</w:t>
          </w:r>
          <w:proofErr w:type="spellEnd"/>
          <w:r>
            <w:rPr>
              <w:b/>
              <w:szCs w:val="16"/>
            </w:rPr>
            <w:t>/211</w:t>
          </w:r>
        </w:p>
        <w:bookmarkEnd w:id="43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DB27AA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D61ACB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3 April 2019</w:t>
          </w:r>
          <w:bookmarkStart w:id="46" w:name="_GoBack"/>
          <w:bookmarkEnd w:id="46"/>
        </w:p>
      </w:tc>
    </w:tr>
    <w:tr w:rsidR="00DB27AA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F34AC0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D61ACB">
            <w:rPr>
              <w:color w:val="FF0000"/>
              <w:szCs w:val="16"/>
            </w:rPr>
            <w:t>19-2115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F34AC0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DB27AA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F37976" w:rsidP="00B801E9">
          <w:pPr>
            <w:jc w:val="left"/>
            <w:rPr>
              <w:sz w:val="14"/>
              <w:szCs w:val="16"/>
            </w:rPr>
          </w:pPr>
          <w:bookmarkStart w:id="50" w:name="bmkCommittee"/>
          <w:r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F37976" w:rsidP="00B801E9">
          <w:pPr>
            <w:jc w:val="right"/>
            <w:rPr>
              <w:bCs/>
              <w:szCs w:val="18"/>
            </w:rPr>
          </w:pPr>
          <w:bookmarkStart w:id="51" w:name="bmkLanguage"/>
          <w:r>
            <w:rPr>
              <w:bCs/>
              <w:szCs w:val="18"/>
            </w:rPr>
            <w:t>Original: English</w:t>
          </w:r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CAAB7A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DEE4AE4" w:tentative="1">
      <w:start w:val="1"/>
      <w:numFmt w:val="lowerLetter"/>
      <w:lvlText w:val="%2."/>
      <w:lvlJc w:val="left"/>
      <w:pPr>
        <w:ind w:left="1080" w:hanging="360"/>
      </w:pPr>
    </w:lvl>
    <w:lvl w:ilvl="2" w:tplc="686A36AA" w:tentative="1">
      <w:start w:val="1"/>
      <w:numFmt w:val="lowerRoman"/>
      <w:lvlText w:val="%3."/>
      <w:lvlJc w:val="right"/>
      <w:pPr>
        <w:ind w:left="1800" w:hanging="180"/>
      </w:pPr>
    </w:lvl>
    <w:lvl w:ilvl="3" w:tplc="7C007102" w:tentative="1">
      <w:start w:val="1"/>
      <w:numFmt w:val="decimal"/>
      <w:lvlText w:val="%4."/>
      <w:lvlJc w:val="left"/>
      <w:pPr>
        <w:ind w:left="2520" w:hanging="360"/>
      </w:pPr>
    </w:lvl>
    <w:lvl w:ilvl="4" w:tplc="CF72C5EC" w:tentative="1">
      <w:start w:val="1"/>
      <w:numFmt w:val="lowerLetter"/>
      <w:lvlText w:val="%5."/>
      <w:lvlJc w:val="left"/>
      <w:pPr>
        <w:ind w:left="3240" w:hanging="360"/>
      </w:pPr>
    </w:lvl>
    <w:lvl w:ilvl="5" w:tplc="6FC2D1AC" w:tentative="1">
      <w:start w:val="1"/>
      <w:numFmt w:val="lowerRoman"/>
      <w:lvlText w:val="%6."/>
      <w:lvlJc w:val="right"/>
      <w:pPr>
        <w:ind w:left="3960" w:hanging="180"/>
      </w:pPr>
    </w:lvl>
    <w:lvl w:ilvl="6" w:tplc="6464E13C" w:tentative="1">
      <w:start w:val="1"/>
      <w:numFmt w:val="decimal"/>
      <w:lvlText w:val="%7."/>
      <w:lvlJc w:val="left"/>
      <w:pPr>
        <w:ind w:left="4680" w:hanging="360"/>
      </w:pPr>
    </w:lvl>
    <w:lvl w:ilvl="7" w:tplc="35EC09E4" w:tentative="1">
      <w:start w:val="1"/>
      <w:numFmt w:val="lowerLetter"/>
      <w:lvlText w:val="%8."/>
      <w:lvlJc w:val="left"/>
      <w:pPr>
        <w:ind w:left="5400" w:hanging="360"/>
      </w:pPr>
    </w:lvl>
    <w:lvl w:ilvl="8" w:tplc="B92EBE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8542DA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62FE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E8C62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03AD3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63A4D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A36F0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2A24A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9125C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F742C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0E3FBD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442"/>
    <w:rsid w:val="003572B4"/>
    <w:rsid w:val="00381B96"/>
    <w:rsid w:val="00383F7A"/>
    <w:rsid w:val="00396AF4"/>
    <w:rsid w:val="003B2BBF"/>
    <w:rsid w:val="003D11E4"/>
    <w:rsid w:val="0041584A"/>
    <w:rsid w:val="004423A4"/>
    <w:rsid w:val="00467032"/>
    <w:rsid w:val="0046754A"/>
    <w:rsid w:val="0048173D"/>
    <w:rsid w:val="004C16E2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26DE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1F37"/>
    <w:rsid w:val="009A6F54"/>
    <w:rsid w:val="009A72C6"/>
    <w:rsid w:val="009B6669"/>
    <w:rsid w:val="009D1FF8"/>
    <w:rsid w:val="009E75ED"/>
    <w:rsid w:val="009F1F2F"/>
    <w:rsid w:val="00A6057A"/>
    <w:rsid w:val="00A71BE1"/>
    <w:rsid w:val="00A74017"/>
    <w:rsid w:val="00A9543B"/>
    <w:rsid w:val="00A97889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61ACB"/>
    <w:rsid w:val="00D70F5B"/>
    <w:rsid w:val="00D747AE"/>
    <w:rsid w:val="00D9226C"/>
    <w:rsid w:val="00DA20BD"/>
    <w:rsid w:val="00DB27AA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34AC0"/>
    <w:rsid w:val="00F37976"/>
    <w:rsid w:val="00F40595"/>
    <w:rsid w:val="00F650F7"/>
    <w:rsid w:val="00F85C99"/>
    <w:rsid w:val="00F97AEE"/>
    <w:rsid w:val="00FA4811"/>
    <w:rsid w:val="00FA5EBC"/>
    <w:rsid w:val="00FC5D0F"/>
    <w:rsid w:val="00FD224A"/>
    <w:rsid w:val="00FD3326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BE8606C"/>
  <w15:docId w15:val="{E5546AED-8167-42A9-ACED-ADE1885A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4C1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payas@fda.gov.ph" TargetMode="External"/><Relationship Id="rId13" Type="http://schemas.openxmlformats.org/officeDocument/2006/relationships/hyperlink" Target="https://members.wto.org/crnattachments/2019/TBT/PHL/19_1875_00_e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info@fda.gov.ph" TargetMode="External"/><Relationship Id="rId12" Type="http://schemas.openxmlformats.org/officeDocument/2006/relationships/hyperlink" Target="http://www.fda.gov.ph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ppayas@fda.gov.p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info@fda.gov.ph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fda.gov.ph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11</cp:revision>
  <dcterms:created xsi:type="dcterms:W3CDTF">2019-04-02T11:15:00Z</dcterms:created>
  <dcterms:modified xsi:type="dcterms:W3CDTF">2019-04-03T13:13:00Z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G/TBT/N/PHL/211</vt:lpwstr>
  </property>
</Properties>
</file>