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B97C" w14:textId="77777777" w:rsidR="009239F7" w:rsidRPr="002F6A28" w:rsidRDefault="009B0B94" w:rsidP="002F6A28">
      <w:pPr>
        <w:pStyle w:val="Title"/>
        <w:rPr>
          <w:caps w:val="0"/>
          <w:kern w:val="0"/>
        </w:rPr>
      </w:pPr>
      <w:r w:rsidRPr="002F6A28">
        <w:rPr>
          <w:caps w:val="0"/>
          <w:kern w:val="0"/>
        </w:rPr>
        <w:t>NOTIFICATION</w:t>
      </w:r>
    </w:p>
    <w:p w14:paraId="572B7EA5" w14:textId="77777777" w:rsidR="009239F7" w:rsidRPr="002F6A28" w:rsidRDefault="009B0B94" w:rsidP="002F6A28">
      <w:pPr>
        <w:jc w:val="center"/>
      </w:pPr>
      <w:r w:rsidRPr="002F6A28">
        <w:t>The following notification is being circulated in accordance with Article 10.6</w:t>
      </w:r>
    </w:p>
    <w:p w14:paraId="3AA66D6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F271F" w14:paraId="15DF7DCF" w14:textId="77777777" w:rsidTr="0069259F">
        <w:tc>
          <w:tcPr>
            <w:tcW w:w="713" w:type="dxa"/>
            <w:tcBorders>
              <w:bottom w:val="single" w:sz="6" w:space="0" w:color="auto"/>
            </w:tcBorders>
            <w:shd w:val="clear" w:color="auto" w:fill="auto"/>
          </w:tcPr>
          <w:p w14:paraId="1DC03D72" w14:textId="77777777" w:rsidR="00F85C99" w:rsidRPr="002F6A28" w:rsidRDefault="009B0B94" w:rsidP="002F6A28">
            <w:pPr>
              <w:spacing w:before="120" w:after="120"/>
              <w:jc w:val="left"/>
            </w:pPr>
            <w:r w:rsidRPr="002F6A28">
              <w:rPr>
                <w:b/>
              </w:rPr>
              <w:t>1.</w:t>
            </w:r>
          </w:p>
        </w:tc>
        <w:tc>
          <w:tcPr>
            <w:tcW w:w="8546" w:type="dxa"/>
            <w:tcBorders>
              <w:bottom w:val="single" w:sz="6" w:space="0" w:color="auto"/>
            </w:tcBorders>
            <w:shd w:val="clear" w:color="auto" w:fill="auto"/>
          </w:tcPr>
          <w:p w14:paraId="73021242" w14:textId="77777777" w:rsidR="00F85C99" w:rsidRPr="002F6A28" w:rsidRDefault="009B0B9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New Zealand</w:t>
            </w:r>
            <w:bookmarkEnd w:id="1"/>
            <w:r w:rsidRPr="002F6A28">
              <w:t xml:space="preserve"> </w:t>
            </w:r>
          </w:p>
          <w:p w14:paraId="318351A2" w14:textId="77777777" w:rsidR="00F85C99" w:rsidRPr="002F6A28" w:rsidRDefault="009B0B9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F271F" w14:paraId="2D8D8DCA" w14:textId="77777777" w:rsidTr="0069259F">
        <w:tc>
          <w:tcPr>
            <w:tcW w:w="713" w:type="dxa"/>
            <w:tcBorders>
              <w:top w:val="single" w:sz="6" w:space="0" w:color="auto"/>
              <w:bottom w:val="single" w:sz="6" w:space="0" w:color="auto"/>
            </w:tcBorders>
            <w:shd w:val="clear" w:color="auto" w:fill="auto"/>
          </w:tcPr>
          <w:p w14:paraId="39EA2C64" w14:textId="77777777" w:rsidR="00F85C99" w:rsidRPr="002F6A28" w:rsidRDefault="009B0B9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7B5C906" w14:textId="77777777" w:rsidR="00F85C99" w:rsidRPr="002F6A28" w:rsidRDefault="009B0B9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3EDDD12" w14:textId="77777777" w:rsidR="007F67C3" w:rsidRPr="002F6A28" w:rsidRDefault="009B0B94" w:rsidP="00155128">
            <w:pPr>
              <w:spacing w:before="120" w:after="120"/>
              <w:jc w:val="left"/>
            </w:pPr>
            <w:r w:rsidRPr="002F6A28">
              <w:t>Ministry for the Environment</w:t>
            </w:r>
            <w:r w:rsidRPr="002F6A28">
              <w:br/>
              <w:t xml:space="preserve">Environment House </w:t>
            </w:r>
            <w:r w:rsidRPr="002F6A28">
              <w:br/>
              <w:t xml:space="preserve">23 Kate Sheppard Place </w:t>
            </w:r>
            <w:r w:rsidRPr="002F6A28">
              <w:br/>
              <w:t>Thorndon 6011 Wellington</w:t>
            </w:r>
            <w:r w:rsidRPr="002F6A28">
              <w:br/>
              <w:t xml:space="preserve">New Zealand </w:t>
            </w:r>
            <w:bookmarkEnd w:id="5"/>
          </w:p>
          <w:p w14:paraId="1746D8FA" w14:textId="77777777" w:rsidR="00F85C99" w:rsidRPr="002F6A28" w:rsidRDefault="009B0B9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3FEB5B5" w14:textId="77777777" w:rsidR="007F67C3" w:rsidRPr="002F6A28" w:rsidRDefault="009B0B94" w:rsidP="00AA646C">
            <w:pPr>
              <w:spacing w:after="120"/>
              <w:jc w:val="left"/>
            </w:pPr>
            <w:r w:rsidRPr="002F6A28">
              <w:t>Standards New Zealand</w:t>
            </w:r>
            <w:r w:rsidRPr="002F6A28">
              <w:br/>
              <w:t>Ph +64 4 498 5990</w:t>
            </w:r>
            <w:r w:rsidRPr="002F6A28">
              <w:br/>
            </w:r>
            <w:hyperlink r:id="rId7" w:history="1">
              <w:r w:rsidRPr="002F6A28">
                <w:rPr>
                  <w:color w:val="0000FF"/>
                  <w:u w:val="single"/>
                </w:rPr>
                <w:t>wto@standards.co.nz</w:t>
              </w:r>
            </w:hyperlink>
            <w:r w:rsidRPr="002F6A28">
              <w:t xml:space="preserve"> </w:t>
            </w:r>
            <w:r w:rsidRPr="002F6A28">
              <w:br/>
            </w:r>
            <w:hyperlink r:id="rId8" w:history="1">
              <w:r w:rsidRPr="002F6A28">
                <w:rPr>
                  <w:color w:val="0000FF"/>
                  <w:u w:val="single"/>
                </w:rPr>
                <w:t>www.standards.govt.nz</w:t>
              </w:r>
            </w:hyperlink>
            <w:bookmarkEnd w:id="7"/>
          </w:p>
        </w:tc>
      </w:tr>
      <w:tr w:rsidR="00AF271F" w14:paraId="2ABD4751" w14:textId="77777777" w:rsidTr="0069259F">
        <w:tc>
          <w:tcPr>
            <w:tcW w:w="713" w:type="dxa"/>
            <w:tcBorders>
              <w:top w:val="single" w:sz="6" w:space="0" w:color="auto"/>
              <w:bottom w:val="single" w:sz="6" w:space="0" w:color="auto"/>
            </w:tcBorders>
            <w:shd w:val="clear" w:color="auto" w:fill="auto"/>
          </w:tcPr>
          <w:p w14:paraId="2A85383B" w14:textId="77777777" w:rsidR="00F85C99" w:rsidRPr="002F6A28" w:rsidRDefault="009B0B9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3CAEB9A" w14:textId="77777777" w:rsidR="00F85C99" w:rsidRPr="0058336F" w:rsidRDefault="009B0B9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F271F" w14:paraId="27F5D2DB" w14:textId="77777777" w:rsidTr="0069259F">
        <w:tc>
          <w:tcPr>
            <w:tcW w:w="713" w:type="dxa"/>
            <w:tcBorders>
              <w:top w:val="single" w:sz="6" w:space="0" w:color="auto"/>
              <w:bottom w:val="single" w:sz="6" w:space="0" w:color="auto"/>
            </w:tcBorders>
            <w:shd w:val="clear" w:color="auto" w:fill="auto"/>
          </w:tcPr>
          <w:p w14:paraId="3A65B622" w14:textId="77777777" w:rsidR="00F85C99" w:rsidRPr="002F6A28" w:rsidRDefault="009B0B9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B0909AB" w14:textId="77777777" w:rsidR="00CD1B3B" w:rsidRDefault="009B0B94" w:rsidP="00CD1B3B">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All</w:t>
            </w:r>
            <w:r w:rsidR="00D53F31">
              <w:t> </w:t>
            </w:r>
            <w:r w:rsidR="00EE3A11" w:rsidRPr="00C379C8">
              <w:t xml:space="preserve">mercury-added products listed in Part I of Annex A of the Minamata Convention on Mercury for new use substances. </w:t>
            </w:r>
          </w:p>
          <w:p w14:paraId="54C4E4B9" w14:textId="77777777" w:rsidR="00F85C99" w:rsidRPr="002F6A28" w:rsidRDefault="009B0B94" w:rsidP="00CD1B3B">
            <w:pPr>
              <w:spacing w:before="120" w:after="120"/>
            </w:pPr>
            <w:r w:rsidRPr="00C379C8">
              <w:t xml:space="preserve">Products in scope are: </w:t>
            </w:r>
          </w:p>
          <w:p w14:paraId="208773F0" w14:textId="77777777" w:rsidR="00EE3A11" w:rsidRPr="00C379C8" w:rsidRDefault="009B0B94" w:rsidP="00D53F31">
            <w:pPr>
              <w:numPr>
                <w:ilvl w:val="0"/>
                <w:numId w:val="16"/>
              </w:numPr>
              <w:spacing w:before="120" w:after="120"/>
              <w:jc w:val="left"/>
            </w:pPr>
            <w:r w:rsidRPr="00C379C8">
              <w:t>Batteries, except:</w:t>
            </w:r>
            <w:r w:rsidR="00D53F31">
              <w:br/>
            </w:r>
            <w:r w:rsidRPr="00C379C8">
              <w:t xml:space="preserve">- Button zinc silver oxide batteries with a mercury content &lt;2% </w:t>
            </w:r>
            <w:r w:rsidR="00D53F31">
              <w:br/>
            </w:r>
            <w:r w:rsidRPr="00C379C8">
              <w:t xml:space="preserve">- Button zinc air batteries with a mercury content &lt;2% </w:t>
            </w:r>
          </w:p>
          <w:p w14:paraId="077772CA" w14:textId="77777777" w:rsidR="00EE3A11" w:rsidRPr="00C379C8" w:rsidRDefault="009B0B94" w:rsidP="00D53F31">
            <w:pPr>
              <w:numPr>
                <w:ilvl w:val="0"/>
                <w:numId w:val="17"/>
              </w:numPr>
              <w:spacing w:before="120" w:after="120"/>
              <w:jc w:val="left"/>
            </w:pPr>
            <w:r w:rsidRPr="00C379C8">
              <w:t>Switches and relays, except:</w:t>
            </w:r>
            <w:r w:rsidR="00D53F31">
              <w:br/>
            </w:r>
            <w:r w:rsidRPr="00C379C8">
              <w:t xml:space="preserve">- Very high accuracy capacitance and loss measurement bridges </w:t>
            </w:r>
            <w:r w:rsidR="00D53F31">
              <w:br/>
            </w:r>
            <w:r w:rsidRPr="00C379C8">
              <w:t xml:space="preserve">- High frequency radio frequency switches and relays in monitoring and control instruments with a maximum mercury content of 20mg per bridge, switch or relay </w:t>
            </w:r>
          </w:p>
          <w:p w14:paraId="0C7B767E" w14:textId="77777777" w:rsidR="00EE3A11" w:rsidRPr="00C379C8" w:rsidRDefault="009B0B94" w:rsidP="00FF6626">
            <w:pPr>
              <w:numPr>
                <w:ilvl w:val="0"/>
                <w:numId w:val="18"/>
              </w:numPr>
              <w:spacing w:before="120" w:after="120"/>
              <w:jc w:val="left"/>
            </w:pPr>
            <w:r w:rsidRPr="00C379C8">
              <w:t>Lamps containing specified quantities of mercury</w:t>
            </w:r>
            <w:r w:rsidR="00D53F31">
              <w:br/>
            </w:r>
            <w:r w:rsidRPr="00C379C8">
              <w:t>- Compact fluorescent lamps (CFLs) for general lighting purposes that are &lt;=</w:t>
            </w:r>
            <w:r w:rsidR="00CD1B3B">
              <w:t> </w:t>
            </w:r>
            <w:r w:rsidRPr="00C379C8">
              <w:t>30</w:t>
            </w:r>
            <w:r w:rsidR="00D53F31">
              <w:t> </w:t>
            </w:r>
            <w:r w:rsidRPr="00C379C8">
              <w:t xml:space="preserve">watts with a mercury content exceeding 2.5 mg per lamp and &gt; 30 watts with a mercury content exceeding 5 mg per lamp </w:t>
            </w:r>
            <w:r>
              <w:br/>
            </w:r>
            <w:r w:rsidRPr="00C379C8">
              <w:t xml:space="preserve">- Linear fluorescent lamps (LFLs) for general lighting purposes: </w:t>
            </w:r>
            <w:r w:rsidR="00D53F31">
              <w:br/>
            </w:r>
            <w:r>
              <w:t xml:space="preserve">   - </w:t>
            </w:r>
            <w:r w:rsidRPr="00C379C8">
              <w:t>Triband phosphor &lt; 60 watts with a mercury content exceeding 5 mg per lamp</w:t>
            </w:r>
            <w:r w:rsidR="00CD1B3B">
              <w:br/>
            </w:r>
            <w:r>
              <w:t xml:space="preserve">   - </w:t>
            </w:r>
            <w:r w:rsidRPr="00C379C8">
              <w:t xml:space="preserve">Halophosphate phosphor &lt;= 40 watts with a mercury content exceeding 10 mg per lamp </w:t>
            </w:r>
            <w:r w:rsidR="00D53F31">
              <w:br/>
            </w:r>
            <w:r w:rsidRPr="00C379C8">
              <w:t xml:space="preserve">- High pressure mercury vapour lamps for general lighting purposes </w:t>
            </w:r>
            <w:r w:rsidR="00D53F31">
              <w:br/>
            </w:r>
            <w:r w:rsidRPr="00C379C8">
              <w:t xml:space="preserve">- Cold cathode fluorescent lamps and external electrode fluorescent lamps </w:t>
            </w:r>
          </w:p>
          <w:p w14:paraId="777D81B5" w14:textId="77777777" w:rsidR="00EE3A11" w:rsidRPr="00C379C8" w:rsidRDefault="009B0B94" w:rsidP="00D53F31">
            <w:pPr>
              <w:numPr>
                <w:ilvl w:val="0"/>
                <w:numId w:val="19"/>
              </w:numPr>
              <w:spacing w:before="120" w:after="120"/>
              <w:jc w:val="left"/>
            </w:pPr>
            <w:r w:rsidRPr="00C379C8">
              <w:lastRenderedPageBreak/>
              <w:t>Cosmetics</w:t>
            </w:r>
          </w:p>
          <w:p w14:paraId="24E5F6F7" w14:textId="77777777" w:rsidR="00EE3A11" w:rsidRPr="00C379C8" w:rsidRDefault="009B0B94" w:rsidP="00D53F31">
            <w:pPr>
              <w:numPr>
                <w:ilvl w:val="0"/>
                <w:numId w:val="19"/>
              </w:numPr>
              <w:spacing w:before="120" w:after="120"/>
              <w:jc w:val="left"/>
            </w:pPr>
            <w:r w:rsidRPr="00C379C8">
              <w:t>Pesticides, biocides, topical antiseptics</w:t>
            </w:r>
          </w:p>
          <w:p w14:paraId="25401F19" w14:textId="77777777" w:rsidR="00EE3A11" w:rsidRPr="00C379C8" w:rsidRDefault="009B0B94" w:rsidP="00D53F31">
            <w:pPr>
              <w:numPr>
                <w:ilvl w:val="0"/>
                <w:numId w:val="19"/>
              </w:numPr>
              <w:spacing w:before="120" w:after="120"/>
              <w:jc w:val="left"/>
            </w:pPr>
            <w:r w:rsidRPr="00C379C8">
              <w:t>Non-electronic measuring devices (barometers, hygrometers, manometers, thermometers, sphygmomanometers)</w:t>
            </w:r>
          </w:p>
        </w:tc>
      </w:tr>
      <w:tr w:rsidR="00AF271F" w14:paraId="1D0302B9" w14:textId="77777777" w:rsidTr="0069259F">
        <w:tc>
          <w:tcPr>
            <w:tcW w:w="713" w:type="dxa"/>
            <w:tcBorders>
              <w:top w:val="single" w:sz="6" w:space="0" w:color="auto"/>
              <w:bottom w:val="single" w:sz="6" w:space="0" w:color="auto"/>
            </w:tcBorders>
            <w:shd w:val="clear" w:color="auto" w:fill="auto"/>
          </w:tcPr>
          <w:p w14:paraId="1CA6EE0F" w14:textId="77777777" w:rsidR="00F85C99" w:rsidRPr="002F6A28" w:rsidRDefault="009B0B94"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14:paraId="4B076866" w14:textId="77777777" w:rsidR="00D53F31" w:rsidRDefault="009B0B94" w:rsidP="002F6A28">
            <w:pPr>
              <w:spacing w:before="120" w:after="120"/>
              <w:rPr>
                <w:b/>
                <w:bCs/>
              </w:rPr>
            </w:pPr>
            <w:bookmarkStart w:id="20" w:name="X_TBT_Reg_5A"/>
            <w:r w:rsidRPr="002F6A28">
              <w:rPr>
                <w:b/>
              </w:rPr>
              <w:t>Title, number of pages and language(s) of the notified document</w:t>
            </w:r>
            <w:bookmarkEnd w:id="20"/>
            <w:r w:rsidRPr="002F6A28">
              <w:rPr>
                <w:b/>
              </w:rPr>
              <w:t>:</w:t>
            </w:r>
            <w:r w:rsidR="00EE3A11" w:rsidRPr="00C379C8">
              <w:t xml:space="preserve"> Managing the trade in mercury and mercury products: New Zealand's approach to ratifying the Minamata Convention on Mercury</w:t>
            </w:r>
            <w:r>
              <w:t xml:space="preserve"> </w:t>
            </w:r>
            <w:r w:rsidRPr="00C379C8">
              <w:t>(31 page(s), in English)</w:t>
            </w:r>
          </w:p>
          <w:p w14:paraId="763CFEAC" w14:textId="77777777" w:rsidR="00F85C99" w:rsidRPr="00D53F31" w:rsidRDefault="00242D77" w:rsidP="002F6A28">
            <w:pPr>
              <w:spacing w:before="120" w:after="120"/>
              <w:rPr>
                <w:b/>
                <w:bCs/>
              </w:rPr>
            </w:pPr>
            <w:hyperlink r:id="rId9" w:history="1">
              <w:r w:rsidR="009B0B94" w:rsidRPr="00092B47">
                <w:rPr>
                  <w:rStyle w:val="Hyperlink"/>
                </w:rPr>
                <w:t>https://www.mfe.govt.nz/sites/default/files/media/Climate%20Change/minamata-convention-consultation.pdf</w:t>
              </w:r>
            </w:hyperlink>
            <w:r w:rsidR="00EE3A11" w:rsidRPr="00C379C8">
              <w:t xml:space="preserve"> </w:t>
            </w:r>
            <w:bookmarkStart w:id="21" w:name="sps5a"/>
            <w:bookmarkStart w:id="22" w:name="sps5c"/>
            <w:bookmarkStart w:id="23" w:name="sps5b"/>
            <w:bookmarkEnd w:id="21"/>
            <w:bookmarkEnd w:id="22"/>
            <w:bookmarkEnd w:id="23"/>
          </w:p>
        </w:tc>
      </w:tr>
      <w:tr w:rsidR="00AF271F" w14:paraId="60296098" w14:textId="77777777" w:rsidTr="0069259F">
        <w:tc>
          <w:tcPr>
            <w:tcW w:w="713" w:type="dxa"/>
            <w:tcBorders>
              <w:top w:val="single" w:sz="6" w:space="0" w:color="auto"/>
              <w:bottom w:val="single" w:sz="6" w:space="0" w:color="auto"/>
            </w:tcBorders>
            <w:shd w:val="clear" w:color="auto" w:fill="auto"/>
          </w:tcPr>
          <w:p w14:paraId="178C3EF6" w14:textId="77777777" w:rsidR="00F85C99" w:rsidRPr="002F6A28" w:rsidRDefault="009B0B9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A582F57" w14:textId="77777777" w:rsidR="00F85C99" w:rsidRPr="002F6A28" w:rsidRDefault="009B0B94" w:rsidP="00CD1B3B">
            <w:pPr>
              <w:spacing w:before="120" w:after="120"/>
              <w:rPr>
                <w:b/>
              </w:rPr>
            </w:pPr>
            <w:bookmarkStart w:id="24" w:name="X_TBT_Reg_6A"/>
            <w:r w:rsidRPr="002F6A28">
              <w:rPr>
                <w:b/>
              </w:rPr>
              <w:t>Description of content</w:t>
            </w:r>
            <w:bookmarkEnd w:id="24"/>
            <w:r w:rsidRPr="002F6A28">
              <w:rPr>
                <w:b/>
              </w:rPr>
              <w:t>:</w:t>
            </w:r>
            <w:r w:rsidR="00FE448B" w:rsidRPr="00C379C8">
              <w:t xml:space="preserve"> We propose to:</w:t>
            </w:r>
          </w:p>
          <w:p w14:paraId="241D23DA" w14:textId="77777777" w:rsidR="00FE448B" w:rsidRPr="00C379C8" w:rsidRDefault="009B0B94" w:rsidP="00CD1B3B">
            <w:pPr>
              <w:numPr>
                <w:ilvl w:val="0"/>
                <w:numId w:val="20"/>
              </w:numPr>
              <w:spacing w:before="120" w:after="120"/>
            </w:pPr>
            <w:r w:rsidRPr="00C379C8">
              <w:t>Amend regulations under the Import and Export (Restrictions) Act 1988 to ban the import and export of specific mercury-containing products.</w:t>
            </w:r>
          </w:p>
          <w:p w14:paraId="0CF536CB" w14:textId="77777777" w:rsidR="00FE448B" w:rsidRPr="00C379C8" w:rsidRDefault="009B0B94" w:rsidP="00CD1B3B">
            <w:pPr>
              <w:numPr>
                <w:ilvl w:val="0"/>
                <w:numId w:val="20"/>
              </w:numPr>
              <w:spacing w:before="120" w:after="120"/>
            </w:pPr>
            <w:r w:rsidRPr="00C379C8">
              <w:t>Create new regulations under the Waste Minimisation Act 2008 to ban the manufacture and sale of certain mercury-containing products in New Zealand.</w:t>
            </w:r>
          </w:p>
          <w:p w14:paraId="3643BFFF" w14:textId="77777777" w:rsidR="00FE448B" w:rsidRPr="00C379C8" w:rsidRDefault="009B0B94" w:rsidP="00CD1B3B">
            <w:pPr>
              <w:spacing w:after="120"/>
            </w:pPr>
            <w:r w:rsidRPr="00C379C8">
              <w:t>These changes, along with other domestic law changes, are expected to bring New</w:t>
            </w:r>
            <w:r w:rsidR="00CD1B3B">
              <w:t> </w:t>
            </w:r>
            <w:r w:rsidRPr="00C379C8">
              <w:t>Zealand's regulations into line with the Minamata Convention on Mercury.</w:t>
            </w:r>
          </w:p>
        </w:tc>
      </w:tr>
      <w:tr w:rsidR="00AF271F" w14:paraId="3FA2D9E3" w14:textId="77777777" w:rsidTr="0069259F">
        <w:tc>
          <w:tcPr>
            <w:tcW w:w="713" w:type="dxa"/>
            <w:tcBorders>
              <w:top w:val="single" w:sz="6" w:space="0" w:color="auto"/>
              <w:bottom w:val="single" w:sz="6" w:space="0" w:color="auto"/>
            </w:tcBorders>
            <w:shd w:val="clear" w:color="auto" w:fill="auto"/>
          </w:tcPr>
          <w:p w14:paraId="2E6B8195" w14:textId="77777777" w:rsidR="00F85C99" w:rsidRPr="002F6A28" w:rsidRDefault="009B0B9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D570D37" w14:textId="77777777" w:rsidR="00F85C99" w:rsidRPr="002F6A28" w:rsidRDefault="009B0B94"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These changes are required to meet the ratification requirements of the Minamata Convention on Mercury, which seeks to address the global threat to human health and the environment posed by human-made mercury</w:t>
            </w:r>
            <w:bookmarkStart w:id="26" w:name="sps7f"/>
            <w:bookmarkEnd w:id="26"/>
          </w:p>
        </w:tc>
      </w:tr>
      <w:tr w:rsidR="00AF271F" w:rsidRPr="00242D77" w14:paraId="6B8B13CA" w14:textId="77777777" w:rsidTr="0069259F">
        <w:tc>
          <w:tcPr>
            <w:tcW w:w="713" w:type="dxa"/>
            <w:tcBorders>
              <w:top w:val="single" w:sz="6" w:space="0" w:color="auto"/>
              <w:bottom w:val="single" w:sz="6" w:space="0" w:color="auto"/>
            </w:tcBorders>
            <w:shd w:val="clear" w:color="auto" w:fill="auto"/>
          </w:tcPr>
          <w:p w14:paraId="658DAA4F" w14:textId="77777777" w:rsidR="00F85C99" w:rsidRPr="002F6A28" w:rsidRDefault="009B0B9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CB9888" w14:textId="77777777" w:rsidR="00072B36" w:rsidRPr="00D53F31" w:rsidRDefault="009B0B94" w:rsidP="009E75ED">
            <w:pPr>
              <w:spacing w:before="120" w:after="120"/>
              <w:rPr>
                <w:lang w:val="fr-CH"/>
              </w:rPr>
            </w:pPr>
            <w:bookmarkStart w:id="27" w:name="X_TBT_Reg_8A"/>
            <w:r w:rsidRPr="00D53F31">
              <w:rPr>
                <w:b/>
                <w:lang w:val="fr-CH"/>
              </w:rPr>
              <w:t>Relevant documents</w:t>
            </w:r>
            <w:bookmarkEnd w:id="27"/>
            <w:r w:rsidRPr="00D53F31">
              <w:rPr>
                <w:b/>
                <w:lang w:val="fr-CH"/>
              </w:rPr>
              <w:t>:</w:t>
            </w:r>
            <w:r w:rsidR="00EE3A11" w:rsidRPr="00D53F31">
              <w:rPr>
                <w:lang w:val="fr-CH"/>
              </w:rPr>
              <w:t xml:space="preserve"> </w:t>
            </w:r>
          </w:p>
          <w:p w14:paraId="4BA7483C" w14:textId="77777777" w:rsidR="00F85C99" w:rsidRPr="00D53F31" w:rsidRDefault="00242D77" w:rsidP="00D53F31">
            <w:pPr>
              <w:numPr>
                <w:ilvl w:val="0"/>
                <w:numId w:val="21"/>
              </w:numPr>
              <w:spacing w:before="120" w:after="120"/>
              <w:rPr>
                <w:lang w:val="fr-CH"/>
              </w:rPr>
            </w:pPr>
            <w:hyperlink r:id="rId10" w:history="1">
              <w:r w:rsidR="009B0B94" w:rsidRPr="00D53F31">
                <w:rPr>
                  <w:bCs/>
                  <w:color w:val="0000FF"/>
                  <w:u w:val="single"/>
                  <w:lang w:val="fr-CH"/>
                </w:rPr>
                <w:t>https://www.mfe.govt.nz/sites/default/files/media/Climate%20Change/minamata-convention-consultation.pdf</w:t>
              </w:r>
            </w:hyperlink>
          </w:p>
        </w:tc>
      </w:tr>
      <w:tr w:rsidR="00AF271F" w14:paraId="4CD24FEC" w14:textId="77777777" w:rsidTr="00AE6CC8">
        <w:trPr>
          <w:cantSplit/>
        </w:trPr>
        <w:tc>
          <w:tcPr>
            <w:tcW w:w="713" w:type="dxa"/>
            <w:tcBorders>
              <w:top w:val="single" w:sz="6" w:space="0" w:color="auto"/>
              <w:bottom w:val="single" w:sz="6" w:space="0" w:color="auto"/>
            </w:tcBorders>
            <w:shd w:val="clear" w:color="auto" w:fill="auto"/>
          </w:tcPr>
          <w:p w14:paraId="51831F19" w14:textId="77777777" w:rsidR="00EE3A11" w:rsidRPr="002F6A28" w:rsidRDefault="009B0B9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E4CDF85" w14:textId="77777777" w:rsidR="00EE3A11" w:rsidRPr="002F6A28" w:rsidRDefault="009B0B94" w:rsidP="008953C4">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April 2021</w:t>
            </w:r>
            <w:bookmarkEnd w:id="30"/>
          </w:p>
          <w:p w14:paraId="5627B833" w14:textId="77777777" w:rsidR="00EE3A11" w:rsidRPr="002F6A28" w:rsidRDefault="009B0B94" w:rsidP="008953C4">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October 2021</w:t>
            </w:r>
            <w:bookmarkEnd w:id="33"/>
          </w:p>
        </w:tc>
      </w:tr>
      <w:tr w:rsidR="00AF271F" w14:paraId="25996A00" w14:textId="77777777" w:rsidTr="0069259F">
        <w:tc>
          <w:tcPr>
            <w:tcW w:w="713" w:type="dxa"/>
            <w:tcBorders>
              <w:top w:val="single" w:sz="6" w:space="0" w:color="auto"/>
              <w:bottom w:val="single" w:sz="6" w:space="0" w:color="auto"/>
            </w:tcBorders>
            <w:shd w:val="clear" w:color="auto" w:fill="auto"/>
          </w:tcPr>
          <w:p w14:paraId="3B50F0F1" w14:textId="77777777" w:rsidR="00F85C99" w:rsidRPr="002F6A28" w:rsidRDefault="009B0B9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B383015" w14:textId="77777777" w:rsidR="00F85C99" w:rsidRPr="002F6A28" w:rsidRDefault="009B0B94" w:rsidP="002F6A28">
            <w:pPr>
              <w:spacing w:before="120" w:after="120"/>
            </w:pPr>
            <w:bookmarkStart w:id="34" w:name="X_TBT_Reg_10A"/>
            <w:r w:rsidRPr="002F6A28">
              <w:rPr>
                <w:b/>
              </w:rPr>
              <w:t>Final date for comments</w:t>
            </w:r>
            <w:bookmarkEnd w:id="34"/>
            <w:r w:rsidRPr="002F6A28">
              <w:rPr>
                <w:b/>
              </w:rPr>
              <w:t>:</w:t>
            </w:r>
            <w:r w:rsidR="00EE3A11" w:rsidRPr="00C379C8">
              <w:t xml:space="preserve"> 15 September 2020</w:t>
            </w:r>
            <w:bookmarkStart w:id="35" w:name="sps12a"/>
            <w:bookmarkEnd w:id="35"/>
          </w:p>
        </w:tc>
      </w:tr>
      <w:tr w:rsidR="00AF271F" w14:paraId="70AB32ED" w14:textId="77777777" w:rsidTr="0069259F">
        <w:tc>
          <w:tcPr>
            <w:tcW w:w="713" w:type="dxa"/>
            <w:tcBorders>
              <w:top w:val="single" w:sz="6" w:space="0" w:color="auto"/>
            </w:tcBorders>
            <w:shd w:val="clear" w:color="auto" w:fill="auto"/>
          </w:tcPr>
          <w:p w14:paraId="098449B6" w14:textId="77777777" w:rsidR="00F85C99" w:rsidRPr="002F6A28" w:rsidRDefault="009B0B9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30C7813" w14:textId="77777777" w:rsidR="00F85C99" w:rsidRPr="002F6A28" w:rsidRDefault="009B0B94"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 xml:space="preserve"> </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14:paraId="00674A25" w14:textId="77777777" w:rsidR="00D53F31" w:rsidRDefault="00242D77" w:rsidP="00B16145">
            <w:pPr>
              <w:keepNext/>
              <w:keepLines/>
              <w:spacing w:before="120" w:after="120"/>
              <w:jc w:val="left"/>
            </w:pPr>
            <w:hyperlink r:id="rId11" w:history="1">
              <w:r w:rsidR="009B0B94" w:rsidRPr="002F6A28">
                <w:rPr>
                  <w:color w:val="0000FF"/>
                  <w:u w:val="single"/>
                </w:rPr>
                <w:t>minamata@mfe.govt.nz</w:t>
              </w:r>
            </w:hyperlink>
            <w:r w:rsidR="009B0B94" w:rsidRPr="002F6A28">
              <w:t xml:space="preserve"> </w:t>
            </w:r>
          </w:p>
          <w:p w14:paraId="15942DBC" w14:textId="77777777" w:rsidR="007F67C3" w:rsidRPr="002F6A28" w:rsidRDefault="00242D77" w:rsidP="00B16145">
            <w:pPr>
              <w:keepNext/>
              <w:keepLines/>
              <w:spacing w:before="120" w:after="120"/>
            </w:pPr>
            <w:hyperlink r:id="rId12" w:history="1">
              <w:r w:rsidR="009B0B94" w:rsidRPr="002F6A28">
                <w:rPr>
                  <w:color w:val="0000FF"/>
                  <w:u w:val="single"/>
                </w:rPr>
                <w:t>https://www.mfe.govt.nz/sites/default/files/media/Climate%20Change/minamata-convention-consultation.pdf</w:t>
              </w:r>
            </w:hyperlink>
            <w:bookmarkEnd w:id="39"/>
          </w:p>
        </w:tc>
      </w:tr>
    </w:tbl>
    <w:p w14:paraId="72CDAE0E"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E242" w14:textId="77777777" w:rsidR="00F20BAD" w:rsidRDefault="009B0B94">
      <w:r>
        <w:separator/>
      </w:r>
    </w:p>
  </w:endnote>
  <w:endnote w:type="continuationSeparator" w:id="0">
    <w:p w14:paraId="47668C35" w14:textId="77777777" w:rsidR="00F20BAD" w:rsidRDefault="009B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9519" w14:textId="77777777" w:rsidR="009239F7" w:rsidRPr="002F6A28" w:rsidRDefault="009B0B9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9400" w14:textId="77777777" w:rsidR="009239F7" w:rsidRPr="002F6A28" w:rsidRDefault="009B0B9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1B61" w14:textId="77777777" w:rsidR="00EE3A11" w:rsidRPr="002F6A28" w:rsidRDefault="009B0B9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3A28" w14:textId="77777777" w:rsidR="00F20BAD" w:rsidRDefault="009B0B94">
      <w:r>
        <w:separator/>
      </w:r>
    </w:p>
  </w:footnote>
  <w:footnote w:type="continuationSeparator" w:id="0">
    <w:p w14:paraId="68F7AAAD" w14:textId="77777777" w:rsidR="00F20BAD" w:rsidRDefault="009B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06E8" w14:textId="77777777" w:rsidR="009239F7" w:rsidRPr="002F6A28" w:rsidRDefault="009B0B94" w:rsidP="009239F7">
    <w:pPr>
      <w:pStyle w:val="Header"/>
      <w:pBdr>
        <w:bottom w:val="single" w:sz="4" w:space="1" w:color="auto"/>
      </w:pBdr>
      <w:tabs>
        <w:tab w:val="clear" w:pos="4513"/>
        <w:tab w:val="clear" w:pos="9027"/>
      </w:tabs>
      <w:jc w:val="center"/>
    </w:pPr>
    <w:r w:rsidRPr="002F6A28">
      <w:t>tbtSymbol</w:t>
    </w:r>
  </w:p>
  <w:p w14:paraId="172FCA7A" w14:textId="77777777" w:rsidR="009239F7" w:rsidRPr="002F6A28" w:rsidRDefault="009239F7" w:rsidP="009239F7">
    <w:pPr>
      <w:pStyle w:val="Header"/>
      <w:pBdr>
        <w:bottom w:val="single" w:sz="4" w:space="1" w:color="auto"/>
      </w:pBdr>
      <w:tabs>
        <w:tab w:val="clear" w:pos="4513"/>
        <w:tab w:val="clear" w:pos="9027"/>
      </w:tabs>
      <w:jc w:val="center"/>
    </w:pPr>
  </w:p>
  <w:p w14:paraId="1F7755C8" w14:textId="77777777" w:rsidR="009239F7" w:rsidRPr="002F6A28" w:rsidRDefault="009B0B9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229A9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EAE4" w14:textId="77777777" w:rsidR="009239F7" w:rsidRPr="002F6A28" w:rsidRDefault="009B0B94" w:rsidP="009239F7">
    <w:pPr>
      <w:pStyle w:val="Header"/>
      <w:pBdr>
        <w:bottom w:val="single" w:sz="4" w:space="1" w:color="auto"/>
      </w:pBdr>
      <w:tabs>
        <w:tab w:val="clear" w:pos="4513"/>
        <w:tab w:val="clear" w:pos="9027"/>
      </w:tabs>
      <w:jc w:val="center"/>
    </w:pPr>
    <w:bookmarkStart w:id="40" w:name="spsSymbolHeader"/>
    <w:r w:rsidRPr="002F6A28">
      <w:t>G/TBT/N/NZL/102</w:t>
    </w:r>
    <w:bookmarkEnd w:id="40"/>
  </w:p>
  <w:p w14:paraId="51CAF1C3" w14:textId="77777777" w:rsidR="009239F7" w:rsidRPr="002F6A28" w:rsidRDefault="009239F7" w:rsidP="009239F7">
    <w:pPr>
      <w:pStyle w:val="Header"/>
      <w:pBdr>
        <w:bottom w:val="single" w:sz="4" w:space="1" w:color="auto"/>
      </w:pBdr>
      <w:tabs>
        <w:tab w:val="clear" w:pos="4513"/>
        <w:tab w:val="clear" w:pos="9027"/>
      </w:tabs>
      <w:jc w:val="center"/>
    </w:pPr>
  </w:p>
  <w:p w14:paraId="71A9A3DF" w14:textId="77777777" w:rsidR="009239F7" w:rsidRPr="002F6A28" w:rsidRDefault="009B0B9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400A0A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271F" w14:paraId="40BB36EB" w14:textId="77777777" w:rsidTr="008612A9">
      <w:trPr>
        <w:trHeight w:val="240"/>
        <w:jc w:val="center"/>
      </w:trPr>
      <w:tc>
        <w:tcPr>
          <w:tcW w:w="3794" w:type="dxa"/>
          <w:shd w:val="clear" w:color="auto" w:fill="FFFFFF"/>
          <w:tcMar>
            <w:left w:w="108" w:type="dxa"/>
            <w:right w:w="108" w:type="dxa"/>
          </w:tcMar>
          <w:vAlign w:val="center"/>
        </w:tcPr>
        <w:p w14:paraId="3CF3F298" w14:textId="77777777"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5AE7494" w14:textId="77777777" w:rsidR="00ED54E0" w:rsidRPr="009239F7" w:rsidRDefault="00ED54E0" w:rsidP="00B801E9">
          <w:pPr>
            <w:jc w:val="right"/>
            <w:rPr>
              <w:b/>
              <w:color w:val="FF0000"/>
              <w:szCs w:val="16"/>
            </w:rPr>
          </w:pPr>
        </w:p>
      </w:tc>
    </w:tr>
    <w:bookmarkEnd w:id="41"/>
    <w:tr w:rsidR="00AF271F" w14:paraId="57375007" w14:textId="77777777" w:rsidTr="008612A9">
      <w:trPr>
        <w:trHeight w:val="213"/>
        <w:jc w:val="center"/>
      </w:trPr>
      <w:tc>
        <w:tcPr>
          <w:tcW w:w="3794" w:type="dxa"/>
          <w:vMerge w:val="restart"/>
          <w:shd w:val="clear" w:color="auto" w:fill="FFFFFF"/>
          <w:tcMar>
            <w:left w:w="0" w:type="dxa"/>
            <w:right w:w="0" w:type="dxa"/>
          </w:tcMar>
        </w:tcPr>
        <w:p w14:paraId="6936B79A" w14:textId="77777777" w:rsidR="00ED54E0" w:rsidRPr="009239F7" w:rsidRDefault="00242D77" w:rsidP="00B801E9">
          <w:pPr>
            <w:jc w:val="left"/>
          </w:pPr>
          <w:r>
            <w:rPr>
              <w:lang w:eastAsia="en-GB"/>
            </w:rPr>
            <w:pict w14:anchorId="0D16E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732E6DCD" w14:textId="77777777" w:rsidR="00ED54E0" w:rsidRPr="009239F7" w:rsidRDefault="00ED54E0" w:rsidP="00B801E9">
          <w:pPr>
            <w:jc w:val="right"/>
            <w:rPr>
              <w:b/>
              <w:szCs w:val="16"/>
            </w:rPr>
          </w:pPr>
        </w:p>
      </w:tc>
    </w:tr>
    <w:tr w:rsidR="00AF271F" w14:paraId="555F8169" w14:textId="77777777" w:rsidTr="008612A9">
      <w:trPr>
        <w:trHeight w:val="868"/>
        <w:jc w:val="center"/>
      </w:trPr>
      <w:tc>
        <w:tcPr>
          <w:tcW w:w="3794" w:type="dxa"/>
          <w:vMerge/>
          <w:shd w:val="clear" w:color="auto" w:fill="FFFFFF"/>
          <w:tcMar>
            <w:left w:w="108" w:type="dxa"/>
            <w:right w:w="108" w:type="dxa"/>
          </w:tcMar>
        </w:tcPr>
        <w:p w14:paraId="0005EE7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E992CFA" w14:textId="77777777" w:rsidR="009239F7" w:rsidRPr="002F6A28" w:rsidRDefault="009B0B94" w:rsidP="00B801E9">
          <w:pPr>
            <w:jc w:val="right"/>
            <w:rPr>
              <w:b/>
              <w:szCs w:val="16"/>
            </w:rPr>
          </w:pPr>
          <w:bookmarkStart w:id="42" w:name="bmkSymbols"/>
          <w:r w:rsidRPr="002F6A28">
            <w:rPr>
              <w:b/>
              <w:szCs w:val="16"/>
            </w:rPr>
            <w:t>G/TBT/N/NZL/102</w:t>
          </w:r>
          <w:bookmarkEnd w:id="42"/>
        </w:p>
      </w:tc>
    </w:tr>
    <w:tr w:rsidR="00AF271F" w14:paraId="52F7D76C" w14:textId="77777777" w:rsidTr="008612A9">
      <w:trPr>
        <w:trHeight w:val="240"/>
        <w:jc w:val="center"/>
      </w:trPr>
      <w:tc>
        <w:tcPr>
          <w:tcW w:w="3794" w:type="dxa"/>
          <w:vMerge/>
          <w:shd w:val="clear" w:color="auto" w:fill="FFFFFF"/>
          <w:tcMar>
            <w:left w:w="108" w:type="dxa"/>
            <w:right w:w="108" w:type="dxa"/>
          </w:tcMar>
          <w:vAlign w:val="center"/>
        </w:tcPr>
        <w:p w14:paraId="4BF473E2" w14:textId="77777777" w:rsidR="00ED54E0" w:rsidRPr="009239F7" w:rsidRDefault="00ED54E0" w:rsidP="00B801E9"/>
      </w:tc>
      <w:tc>
        <w:tcPr>
          <w:tcW w:w="5448" w:type="dxa"/>
          <w:gridSpan w:val="2"/>
          <w:shd w:val="clear" w:color="auto" w:fill="FFFFFF"/>
          <w:tcMar>
            <w:left w:w="108" w:type="dxa"/>
            <w:right w:w="108" w:type="dxa"/>
          </w:tcMar>
          <w:vAlign w:val="center"/>
        </w:tcPr>
        <w:p w14:paraId="7C0E7DAA" w14:textId="26E9D797" w:rsidR="00ED54E0" w:rsidRPr="009239F7" w:rsidRDefault="009B0B94" w:rsidP="00B801E9">
          <w:pPr>
            <w:jc w:val="right"/>
            <w:rPr>
              <w:szCs w:val="16"/>
            </w:rPr>
          </w:pPr>
          <w:bookmarkStart w:id="43" w:name="spsDateDistribution"/>
          <w:bookmarkStart w:id="44" w:name="bmkDate"/>
          <w:bookmarkEnd w:id="43"/>
          <w:bookmarkEnd w:id="44"/>
          <w:r>
            <w:rPr>
              <w:szCs w:val="16"/>
            </w:rPr>
            <w:t>16 July 2020</w:t>
          </w:r>
        </w:p>
      </w:tc>
    </w:tr>
    <w:tr w:rsidR="00AF271F" w14:paraId="2975051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101D09" w14:textId="1B5B5437" w:rsidR="00ED54E0" w:rsidRPr="009239F7" w:rsidRDefault="009B0B94" w:rsidP="0097650D">
          <w:pPr>
            <w:jc w:val="left"/>
            <w:rPr>
              <w:b/>
            </w:rPr>
          </w:pPr>
          <w:bookmarkStart w:id="45" w:name="bmkSerial"/>
          <w:r w:rsidRPr="002F6A28">
            <w:rPr>
              <w:color w:val="FF0000"/>
              <w:szCs w:val="16"/>
            </w:rPr>
            <w:t>(</w:t>
          </w:r>
          <w:bookmarkStart w:id="46" w:name="spsSerialNumber"/>
          <w:bookmarkEnd w:id="46"/>
          <w:r>
            <w:rPr>
              <w:color w:val="FF0000"/>
              <w:szCs w:val="16"/>
            </w:rPr>
            <w:t>20-</w:t>
          </w:r>
          <w:r w:rsidR="00242D77">
            <w:rPr>
              <w:color w:val="FF0000"/>
              <w:szCs w:val="16"/>
            </w:rPr>
            <w:t>4840</w:t>
          </w:r>
          <w:bookmarkStart w:id="47" w:name="_GoBack"/>
          <w:bookmarkEnd w:id="47"/>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A368ABB" w14:textId="77777777" w:rsidR="00ED54E0" w:rsidRPr="009239F7" w:rsidRDefault="009B0B9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F271F" w14:paraId="5E28BD6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5054EA" w14:textId="77777777" w:rsidR="00ED54E0" w:rsidRPr="009239F7" w:rsidRDefault="009B0B94"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9D65286" w14:textId="77777777" w:rsidR="00ED54E0" w:rsidRPr="002F6A28" w:rsidRDefault="009B0B94"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BF66F9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5E82CE">
      <w:start w:val="1"/>
      <w:numFmt w:val="decimal"/>
      <w:pStyle w:val="SummaryText"/>
      <w:lvlText w:val="%1."/>
      <w:lvlJc w:val="left"/>
      <w:pPr>
        <w:ind w:left="360" w:hanging="360"/>
      </w:pPr>
    </w:lvl>
    <w:lvl w:ilvl="1" w:tplc="7FECFF08" w:tentative="1">
      <w:start w:val="1"/>
      <w:numFmt w:val="lowerLetter"/>
      <w:lvlText w:val="%2."/>
      <w:lvlJc w:val="left"/>
      <w:pPr>
        <w:ind w:left="1080" w:hanging="360"/>
      </w:pPr>
    </w:lvl>
    <w:lvl w:ilvl="2" w:tplc="9BB2A198" w:tentative="1">
      <w:start w:val="1"/>
      <w:numFmt w:val="lowerRoman"/>
      <w:lvlText w:val="%3."/>
      <w:lvlJc w:val="right"/>
      <w:pPr>
        <w:ind w:left="1800" w:hanging="180"/>
      </w:pPr>
    </w:lvl>
    <w:lvl w:ilvl="3" w:tplc="D7AC6D30" w:tentative="1">
      <w:start w:val="1"/>
      <w:numFmt w:val="decimal"/>
      <w:lvlText w:val="%4."/>
      <w:lvlJc w:val="left"/>
      <w:pPr>
        <w:ind w:left="2520" w:hanging="360"/>
      </w:pPr>
    </w:lvl>
    <w:lvl w:ilvl="4" w:tplc="45228CAA" w:tentative="1">
      <w:start w:val="1"/>
      <w:numFmt w:val="lowerLetter"/>
      <w:lvlText w:val="%5."/>
      <w:lvlJc w:val="left"/>
      <w:pPr>
        <w:ind w:left="3240" w:hanging="360"/>
      </w:pPr>
    </w:lvl>
    <w:lvl w:ilvl="5" w:tplc="E0C47B02" w:tentative="1">
      <w:start w:val="1"/>
      <w:numFmt w:val="lowerRoman"/>
      <w:lvlText w:val="%6."/>
      <w:lvlJc w:val="right"/>
      <w:pPr>
        <w:ind w:left="3960" w:hanging="180"/>
      </w:pPr>
    </w:lvl>
    <w:lvl w:ilvl="6" w:tplc="7D9EB408" w:tentative="1">
      <w:start w:val="1"/>
      <w:numFmt w:val="decimal"/>
      <w:lvlText w:val="%7."/>
      <w:lvlJc w:val="left"/>
      <w:pPr>
        <w:ind w:left="4680" w:hanging="360"/>
      </w:pPr>
    </w:lvl>
    <w:lvl w:ilvl="7" w:tplc="38A80232" w:tentative="1">
      <w:start w:val="1"/>
      <w:numFmt w:val="lowerLetter"/>
      <w:lvlText w:val="%8."/>
      <w:lvlJc w:val="left"/>
      <w:pPr>
        <w:ind w:left="5400" w:hanging="360"/>
      </w:pPr>
    </w:lvl>
    <w:lvl w:ilvl="8" w:tplc="83583F1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B647F2C">
      <w:start w:val="1"/>
      <w:numFmt w:val="bullet"/>
      <w:lvlText w:val=""/>
      <w:lvlJc w:val="left"/>
      <w:pPr>
        <w:ind w:left="720" w:hanging="360"/>
      </w:pPr>
      <w:rPr>
        <w:rFonts w:ascii="Symbol" w:hAnsi="Symbol"/>
      </w:rPr>
    </w:lvl>
    <w:lvl w:ilvl="1" w:tplc="40985F72">
      <w:start w:val="1"/>
      <w:numFmt w:val="bullet"/>
      <w:lvlText w:val="o"/>
      <w:lvlJc w:val="left"/>
      <w:pPr>
        <w:tabs>
          <w:tab w:val="num" w:pos="1440"/>
        </w:tabs>
        <w:ind w:left="1440" w:hanging="360"/>
      </w:pPr>
      <w:rPr>
        <w:rFonts w:ascii="Courier New" w:hAnsi="Courier New"/>
      </w:rPr>
    </w:lvl>
    <w:lvl w:ilvl="2" w:tplc="1C729AF8">
      <w:start w:val="1"/>
      <w:numFmt w:val="bullet"/>
      <w:lvlText w:val=""/>
      <w:lvlJc w:val="left"/>
      <w:pPr>
        <w:tabs>
          <w:tab w:val="num" w:pos="2160"/>
        </w:tabs>
        <w:ind w:left="2160" w:hanging="360"/>
      </w:pPr>
      <w:rPr>
        <w:rFonts w:ascii="Wingdings" w:hAnsi="Wingdings"/>
      </w:rPr>
    </w:lvl>
    <w:lvl w:ilvl="3" w:tplc="BC98A1BC">
      <w:start w:val="1"/>
      <w:numFmt w:val="bullet"/>
      <w:lvlText w:val=""/>
      <w:lvlJc w:val="left"/>
      <w:pPr>
        <w:tabs>
          <w:tab w:val="num" w:pos="2880"/>
        </w:tabs>
        <w:ind w:left="2880" w:hanging="360"/>
      </w:pPr>
      <w:rPr>
        <w:rFonts w:ascii="Symbol" w:hAnsi="Symbol"/>
      </w:rPr>
    </w:lvl>
    <w:lvl w:ilvl="4" w:tplc="4C3CE8DE">
      <w:start w:val="1"/>
      <w:numFmt w:val="bullet"/>
      <w:lvlText w:val="o"/>
      <w:lvlJc w:val="left"/>
      <w:pPr>
        <w:tabs>
          <w:tab w:val="num" w:pos="3600"/>
        </w:tabs>
        <w:ind w:left="3600" w:hanging="360"/>
      </w:pPr>
      <w:rPr>
        <w:rFonts w:ascii="Courier New" w:hAnsi="Courier New"/>
      </w:rPr>
    </w:lvl>
    <w:lvl w:ilvl="5" w:tplc="1604F0BC">
      <w:start w:val="1"/>
      <w:numFmt w:val="bullet"/>
      <w:lvlText w:val=""/>
      <w:lvlJc w:val="left"/>
      <w:pPr>
        <w:tabs>
          <w:tab w:val="num" w:pos="4320"/>
        </w:tabs>
        <w:ind w:left="4320" w:hanging="360"/>
      </w:pPr>
      <w:rPr>
        <w:rFonts w:ascii="Wingdings" w:hAnsi="Wingdings"/>
      </w:rPr>
    </w:lvl>
    <w:lvl w:ilvl="6" w:tplc="1BA28E98">
      <w:start w:val="1"/>
      <w:numFmt w:val="bullet"/>
      <w:lvlText w:val=""/>
      <w:lvlJc w:val="left"/>
      <w:pPr>
        <w:tabs>
          <w:tab w:val="num" w:pos="5040"/>
        </w:tabs>
        <w:ind w:left="5040" w:hanging="360"/>
      </w:pPr>
      <w:rPr>
        <w:rFonts w:ascii="Symbol" w:hAnsi="Symbol"/>
      </w:rPr>
    </w:lvl>
    <w:lvl w:ilvl="7" w:tplc="FF24AD34">
      <w:start w:val="1"/>
      <w:numFmt w:val="bullet"/>
      <w:lvlText w:val="o"/>
      <w:lvlJc w:val="left"/>
      <w:pPr>
        <w:tabs>
          <w:tab w:val="num" w:pos="5760"/>
        </w:tabs>
        <w:ind w:left="5760" w:hanging="360"/>
      </w:pPr>
      <w:rPr>
        <w:rFonts w:ascii="Courier New" w:hAnsi="Courier New"/>
      </w:rPr>
    </w:lvl>
    <w:lvl w:ilvl="8" w:tplc="3C1A371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B62AD85C">
      <w:start w:val="1"/>
      <w:numFmt w:val="bullet"/>
      <w:lvlText w:val=""/>
      <w:lvlJc w:val="left"/>
      <w:pPr>
        <w:ind w:left="720" w:hanging="360"/>
      </w:pPr>
      <w:rPr>
        <w:rFonts w:ascii="Symbol" w:hAnsi="Symbol"/>
      </w:rPr>
    </w:lvl>
    <w:lvl w:ilvl="1" w:tplc="D6A286A0">
      <w:start w:val="1"/>
      <w:numFmt w:val="bullet"/>
      <w:lvlText w:val="o"/>
      <w:lvlJc w:val="left"/>
      <w:pPr>
        <w:tabs>
          <w:tab w:val="num" w:pos="1440"/>
        </w:tabs>
        <w:ind w:left="1440" w:hanging="360"/>
      </w:pPr>
      <w:rPr>
        <w:rFonts w:ascii="Courier New" w:hAnsi="Courier New"/>
      </w:rPr>
    </w:lvl>
    <w:lvl w:ilvl="2" w:tplc="35FA1FAC">
      <w:start w:val="1"/>
      <w:numFmt w:val="bullet"/>
      <w:lvlText w:val=""/>
      <w:lvlJc w:val="left"/>
      <w:pPr>
        <w:tabs>
          <w:tab w:val="num" w:pos="2160"/>
        </w:tabs>
        <w:ind w:left="2160" w:hanging="360"/>
      </w:pPr>
      <w:rPr>
        <w:rFonts w:ascii="Wingdings" w:hAnsi="Wingdings"/>
      </w:rPr>
    </w:lvl>
    <w:lvl w:ilvl="3" w:tplc="6EB69B9C">
      <w:start w:val="1"/>
      <w:numFmt w:val="bullet"/>
      <w:lvlText w:val=""/>
      <w:lvlJc w:val="left"/>
      <w:pPr>
        <w:tabs>
          <w:tab w:val="num" w:pos="2880"/>
        </w:tabs>
        <w:ind w:left="2880" w:hanging="360"/>
      </w:pPr>
      <w:rPr>
        <w:rFonts w:ascii="Symbol" w:hAnsi="Symbol"/>
      </w:rPr>
    </w:lvl>
    <w:lvl w:ilvl="4" w:tplc="1D9EB22E">
      <w:start w:val="1"/>
      <w:numFmt w:val="bullet"/>
      <w:lvlText w:val="o"/>
      <w:lvlJc w:val="left"/>
      <w:pPr>
        <w:tabs>
          <w:tab w:val="num" w:pos="3600"/>
        </w:tabs>
        <w:ind w:left="3600" w:hanging="360"/>
      </w:pPr>
      <w:rPr>
        <w:rFonts w:ascii="Courier New" w:hAnsi="Courier New"/>
      </w:rPr>
    </w:lvl>
    <w:lvl w:ilvl="5" w:tplc="41EC45A4">
      <w:start w:val="1"/>
      <w:numFmt w:val="bullet"/>
      <w:lvlText w:val=""/>
      <w:lvlJc w:val="left"/>
      <w:pPr>
        <w:tabs>
          <w:tab w:val="num" w:pos="4320"/>
        </w:tabs>
        <w:ind w:left="4320" w:hanging="360"/>
      </w:pPr>
      <w:rPr>
        <w:rFonts w:ascii="Wingdings" w:hAnsi="Wingdings"/>
      </w:rPr>
    </w:lvl>
    <w:lvl w:ilvl="6" w:tplc="18803170">
      <w:start w:val="1"/>
      <w:numFmt w:val="bullet"/>
      <w:lvlText w:val=""/>
      <w:lvlJc w:val="left"/>
      <w:pPr>
        <w:tabs>
          <w:tab w:val="num" w:pos="5040"/>
        </w:tabs>
        <w:ind w:left="5040" w:hanging="360"/>
      </w:pPr>
      <w:rPr>
        <w:rFonts w:ascii="Symbol" w:hAnsi="Symbol"/>
      </w:rPr>
    </w:lvl>
    <w:lvl w:ilvl="7" w:tplc="0C7ADE7E">
      <w:start w:val="1"/>
      <w:numFmt w:val="bullet"/>
      <w:lvlText w:val="o"/>
      <w:lvlJc w:val="left"/>
      <w:pPr>
        <w:tabs>
          <w:tab w:val="num" w:pos="5760"/>
        </w:tabs>
        <w:ind w:left="5760" w:hanging="360"/>
      </w:pPr>
      <w:rPr>
        <w:rFonts w:ascii="Courier New" w:hAnsi="Courier New"/>
      </w:rPr>
    </w:lvl>
    <w:lvl w:ilvl="8" w:tplc="334082A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72EADFB6">
      <w:start w:val="1"/>
      <w:numFmt w:val="bullet"/>
      <w:lvlText w:val=""/>
      <w:lvlJc w:val="left"/>
      <w:pPr>
        <w:ind w:left="720" w:hanging="360"/>
      </w:pPr>
      <w:rPr>
        <w:rFonts w:ascii="Symbol" w:hAnsi="Symbol"/>
      </w:rPr>
    </w:lvl>
    <w:lvl w:ilvl="1" w:tplc="CE900186">
      <w:start w:val="1"/>
      <w:numFmt w:val="bullet"/>
      <w:lvlText w:val="o"/>
      <w:lvlJc w:val="left"/>
      <w:pPr>
        <w:tabs>
          <w:tab w:val="num" w:pos="1440"/>
        </w:tabs>
        <w:ind w:left="1440" w:hanging="360"/>
      </w:pPr>
      <w:rPr>
        <w:rFonts w:ascii="Courier New" w:hAnsi="Courier New"/>
      </w:rPr>
    </w:lvl>
    <w:lvl w:ilvl="2" w:tplc="E8A23A7E">
      <w:start w:val="1"/>
      <w:numFmt w:val="bullet"/>
      <w:lvlText w:val=""/>
      <w:lvlJc w:val="left"/>
      <w:pPr>
        <w:tabs>
          <w:tab w:val="num" w:pos="2160"/>
        </w:tabs>
        <w:ind w:left="2160" w:hanging="360"/>
      </w:pPr>
      <w:rPr>
        <w:rFonts w:ascii="Wingdings" w:hAnsi="Wingdings"/>
      </w:rPr>
    </w:lvl>
    <w:lvl w:ilvl="3" w:tplc="586824B0">
      <w:start w:val="1"/>
      <w:numFmt w:val="bullet"/>
      <w:lvlText w:val=""/>
      <w:lvlJc w:val="left"/>
      <w:pPr>
        <w:tabs>
          <w:tab w:val="num" w:pos="2880"/>
        </w:tabs>
        <w:ind w:left="2880" w:hanging="360"/>
      </w:pPr>
      <w:rPr>
        <w:rFonts w:ascii="Symbol" w:hAnsi="Symbol"/>
      </w:rPr>
    </w:lvl>
    <w:lvl w:ilvl="4" w:tplc="EF9E1F30">
      <w:start w:val="1"/>
      <w:numFmt w:val="bullet"/>
      <w:lvlText w:val="o"/>
      <w:lvlJc w:val="left"/>
      <w:pPr>
        <w:tabs>
          <w:tab w:val="num" w:pos="3600"/>
        </w:tabs>
        <w:ind w:left="3600" w:hanging="360"/>
      </w:pPr>
      <w:rPr>
        <w:rFonts w:ascii="Courier New" w:hAnsi="Courier New"/>
      </w:rPr>
    </w:lvl>
    <w:lvl w:ilvl="5" w:tplc="E7683F8A">
      <w:start w:val="1"/>
      <w:numFmt w:val="bullet"/>
      <w:lvlText w:val=""/>
      <w:lvlJc w:val="left"/>
      <w:pPr>
        <w:tabs>
          <w:tab w:val="num" w:pos="4320"/>
        </w:tabs>
        <w:ind w:left="4320" w:hanging="360"/>
      </w:pPr>
      <w:rPr>
        <w:rFonts w:ascii="Wingdings" w:hAnsi="Wingdings"/>
      </w:rPr>
    </w:lvl>
    <w:lvl w:ilvl="6" w:tplc="DEF29A5E">
      <w:start w:val="1"/>
      <w:numFmt w:val="bullet"/>
      <w:lvlText w:val=""/>
      <w:lvlJc w:val="left"/>
      <w:pPr>
        <w:tabs>
          <w:tab w:val="num" w:pos="5040"/>
        </w:tabs>
        <w:ind w:left="5040" w:hanging="360"/>
      </w:pPr>
      <w:rPr>
        <w:rFonts w:ascii="Symbol" w:hAnsi="Symbol"/>
      </w:rPr>
    </w:lvl>
    <w:lvl w:ilvl="7" w:tplc="88409618">
      <w:start w:val="1"/>
      <w:numFmt w:val="bullet"/>
      <w:lvlText w:val="o"/>
      <w:lvlJc w:val="left"/>
      <w:pPr>
        <w:tabs>
          <w:tab w:val="num" w:pos="5760"/>
        </w:tabs>
        <w:ind w:left="5760" w:hanging="360"/>
      </w:pPr>
      <w:rPr>
        <w:rFonts w:ascii="Courier New" w:hAnsi="Courier New"/>
      </w:rPr>
    </w:lvl>
    <w:lvl w:ilvl="8" w:tplc="8AE02A10">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729E71B6">
      <w:start w:val="1"/>
      <w:numFmt w:val="bullet"/>
      <w:lvlText w:val=""/>
      <w:lvlJc w:val="left"/>
      <w:pPr>
        <w:ind w:left="720" w:hanging="360"/>
      </w:pPr>
      <w:rPr>
        <w:rFonts w:ascii="Symbol" w:hAnsi="Symbol"/>
      </w:rPr>
    </w:lvl>
    <w:lvl w:ilvl="1" w:tplc="EABE021C">
      <w:start w:val="1"/>
      <w:numFmt w:val="bullet"/>
      <w:lvlText w:val="o"/>
      <w:lvlJc w:val="left"/>
      <w:pPr>
        <w:tabs>
          <w:tab w:val="num" w:pos="1440"/>
        </w:tabs>
        <w:ind w:left="1440" w:hanging="360"/>
      </w:pPr>
      <w:rPr>
        <w:rFonts w:ascii="Courier New" w:hAnsi="Courier New"/>
      </w:rPr>
    </w:lvl>
    <w:lvl w:ilvl="2" w:tplc="6A801BF6">
      <w:start w:val="1"/>
      <w:numFmt w:val="bullet"/>
      <w:lvlText w:val=""/>
      <w:lvlJc w:val="left"/>
      <w:pPr>
        <w:tabs>
          <w:tab w:val="num" w:pos="2160"/>
        </w:tabs>
        <w:ind w:left="2160" w:hanging="360"/>
      </w:pPr>
      <w:rPr>
        <w:rFonts w:ascii="Wingdings" w:hAnsi="Wingdings"/>
      </w:rPr>
    </w:lvl>
    <w:lvl w:ilvl="3" w:tplc="35C4F1FE">
      <w:start w:val="1"/>
      <w:numFmt w:val="bullet"/>
      <w:lvlText w:val=""/>
      <w:lvlJc w:val="left"/>
      <w:pPr>
        <w:tabs>
          <w:tab w:val="num" w:pos="2880"/>
        </w:tabs>
        <w:ind w:left="2880" w:hanging="360"/>
      </w:pPr>
      <w:rPr>
        <w:rFonts w:ascii="Symbol" w:hAnsi="Symbol"/>
      </w:rPr>
    </w:lvl>
    <w:lvl w:ilvl="4" w:tplc="1F5A3BE6">
      <w:start w:val="1"/>
      <w:numFmt w:val="bullet"/>
      <w:lvlText w:val="o"/>
      <w:lvlJc w:val="left"/>
      <w:pPr>
        <w:tabs>
          <w:tab w:val="num" w:pos="3600"/>
        </w:tabs>
        <w:ind w:left="3600" w:hanging="360"/>
      </w:pPr>
      <w:rPr>
        <w:rFonts w:ascii="Courier New" w:hAnsi="Courier New"/>
      </w:rPr>
    </w:lvl>
    <w:lvl w:ilvl="5" w:tplc="466AC552">
      <w:start w:val="1"/>
      <w:numFmt w:val="bullet"/>
      <w:lvlText w:val=""/>
      <w:lvlJc w:val="left"/>
      <w:pPr>
        <w:tabs>
          <w:tab w:val="num" w:pos="4320"/>
        </w:tabs>
        <w:ind w:left="4320" w:hanging="360"/>
      </w:pPr>
      <w:rPr>
        <w:rFonts w:ascii="Wingdings" w:hAnsi="Wingdings"/>
      </w:rPr>
    </w:lvl>
    <w:lvl w:ilvl="6" w:tplc="549089F4">
      <w:start w:val="1"/>
      <w:numFmt w:val="bullet"/>
      <w:lvlText w:val=""/>
      <w:lvlJc w:val="left"/>
      <w:pPr>
        <w:tabs>
          <w:tab w:val="num" w:pos="5040"/>
        </w:tabs>
        <w:ind w:left="5040" w:hanging="360"/>
      </w:pPr>
      <w:rPr>
        <w:rFonts w:ascii="Symbol" w:hAnsi="Symbol"/>
      </w:rPr>
    </w:lvl>
    <w:lvl w:ilvl="7" w:tplc="B80298B6">
      <w:start w:val="1"/>
      <w:numFmt w:val="bullet"/>
      <w:lvlText w:val="o"/>
      <w:lvlJc w:val="left"/>
      <w:pPr>
        <w:tabs>
          <w:tab w:val="num" w:pos="5760"/>
        </w:tabs>
        <w:ind w:left="5760" w:hanging="360"/>
      </w:pPr>
      <w:rPr>
        <w:rFonts w:ascii="Courier New" w:hAnsi="Courier New"/>
      </w:rPr>
    </w:lvl>
    <w:lvl w:ilvl="8" w:tplc="1C44B282">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F"/>
    <w:multiLevelType w:val="hybridMultilevel"/>
    <w:tmpl w:val="63D526BF"/>
    <w:lvl w:ilvl="0" w:tplc="CAA2335E">
      <w:start w:val="1"/>
      <w:numFmt w:val="bullet"/>
      <w:lvlText w:val=""/>
      <w:lvlJc w:val="left"/>
      <w:pPr>
        <w:ind w:left="720" w:hanging="360"/>
      </w:pPr>
      <w:rPr>
        <w:rFonts w:ascii="Symbol" w:hAnsi="Symbol"/>
      </w:rPr>
    </w:lvl>
    <w:lvl w:ilvl="1" w:tplc="1B32B270">
      <w:start w:val="1"/>
      <w:numFmt w:val="bullet"/>
      <w:lvlText w:val="o"/>
      <w:lvlJc w:val="left"/>
      <w:pPr>
        <w:tabs>
          <w:tab w:val="num" w:pos="1440"/>
        </w:tabs>
        <w:ind w:left="1440" w:hanging="360"/>
      </w:pPr>
      <w:rPr>
        <w:rFonts w:ascii="Courier New" w:hAnsi="Courier New"/>
      </w:rPr>
    </w:lvl>
    <w:lvl w:ilvl="2" w:tplc="1AC6665C">
      <w:start w:val="1"/>
      <w:numFmt w:val="bullet"/>
      <w:lvlText w:val=""/>
      <w:lvlJc w:val="left"/>
      <w:pPr>
        <w:tabs>
          <w:tab w:val="num" w:pos="2160"/>
        </w:tabs>
        <w:ind w:left="2160" w:hanging="360"/>
      </w:pPr>
      <w:rPr>
        <w:rFonts w:ascii="Wingdings" w:hAnsi="Wingdings"/>
      </w:rPr>
    </w:lvl>
    <w:lvl w:ilvl="3" w:tplc="718C71F4">
      <w:start w:val="1"/>
      <w:numFmt w:val="bullet"/>
      <w:lvlText w:val=""/>
      <w:lvlJc w:val="left"/>
      <w:pPr>
        <w:tabs>
          <w:tab w:val="num" w:pos="2880"/>
        </w:tabs>
        <w:ind w:left="2880" w:hanging="360"/>
      </w:pPr>
      <w:rPr>
        <w:rFonts w:ascii="Symbol" w:hAnsi="Symbol"/>
      </w:rPr>
    </w:lvl>
    <w:lvl w:ilvl="4" w:tplc="05A013C8">
      <w:start w:val="1"/>
      <w:numFmt w:val="bullet"/>
      <w:lvlText w:val="o"/>
      <w:lvlJc w:val="left"/>
      <w:pPr>
        <w:tabs>
          <w:tab w:val="num" w:pos="3600"/>
        </w:tabs>
        <w:ind w:left="3600" w:hanging="360"/>
      </w:pPr>
      <w:rPr>
        <w:rFonts w:ascii="Courier New" w:hAnsi="Courier New"/>
      </w:rPr>
    </w:lvl>
    <w:lvl w:ilvl="5" w:tplc="430C74B4">
      <w:start w:val="1"/>
      <w:numFmt w:val="bullet"/>
      <w:lvlText w:val=""/>
      <w:lvlJc w:val="left"/>
      <w:pPr>
        <w:tabs>
          <w:tab w:val="num" w:pos="4320"/>
        </w:tabs>
        <w:ind w:left="4320" w:hanging="360"/>
      </w:pPr>
      <w:rPr>
        <w:rFonts w:ascii="Wingdings" w:hAnsi="Wingdings"/>
      </w:rPr>
    </w:lvl>
    <w:lvl w:ilvl="6" w:tplc="A968891C">
      <w:start w:val="1"/>
      <w:numFmt w:val="bullet"/>
      <w:lvlText w:val=""/>
      <w:lvlJc w:val="left"/>
      <w:pPr>
        <w:tabs>
          <w:tab w:val="num" w:pos="5040"/>
        </w:tabs>
        <w:ind w:left="5040" w:hanging="360"/>
      </w:pPr>
      <w:rPr>
        <w:rFonts w:ascii="Symbol" w:hAnsi="Symbol"/>
      </w:rPr>
    </w:lvl>
    <w:lvl w:ilvl="7" w:tplc="909E609A">
      <w:start w:val="1"/>
      <w:numFmt w:val="bullet"/>
      <w:lvlText w:val="o"/>
      <w:lvlJc w:val="left"/>
      <w:pPr>
        <w:tabs>
          <w:tab w:val="num" w:pos="5760"/>
        </w:tabs>
        <w:ind w:left="5760" w:hanging="360"/>
      </w:pPr>
      <w:rPr>
        <w:rFonts w:ascii="Courier New" w:hAnsi="Courier New"/>
      </w:rPr>
    </w:lvl>
    <w:lvl w:ilvl="8" w:tplc="6AA0E156">
      <w:start w:val="1"/>
      <w:numFmt w:val="bullet"/>
      <w:lvlText w:val=""/>
      <w:lvlJc w:val="left"/>
      <w:pPr>
        <w:tabs>
          <w:tab w:val="num" w:pos="6480"/>
        </w:tabs>
        <w:ind w:left="6480" w:hanging="360"/>
      </w:pPr>
      <w:rPr>
        <w:rFonts w:ascii="Wingdings" w:hAnsi="Wingdings"/>
      </w:rPr>
    </w:lvl>
  </w:abstractNum>
  <w:abstractNum w:abstractNumId="19" w15:restartNumberingAfterBreak="0">
    <w:nsid w:val="6F932E83"/>
    <w:multiLevelType w:val="hybridMultilevel"/>
    <w:tmpl w:val="42D2C6B6"/>
    <w:lvl w:ilvl="0" w:tplc="65143D9A">
      <w:start w:val="1"/>
      <w:numFmt w:val="bullet"/>
      <w:lvlText w:val=""/>
      <w:lvlJc w:val="left"/>
      <w:pPr>
        <w:ind w:left="720" w:hanging="360"/>
      </w:pPr>
      <w:rPr>
        <w:rFonts w:ascii="Symbol" w:hAnsi="Symbol" w:hint="default"/>
      </w:rPr>
    </w:lvl>
    <w:lvl w:ilvl="1" w:tplc="CBBA1A0A" w:tentative="1">
      <w:start w:val="1"/>
      <w:numFmt w:val="bullet"/>
      <w:lvlText w:val="o"/>
      <w:lvlJc w:val="left"/>
      <w:pPr>
        <w:ind w:left="1440" w:hanging="360"/>
      </w:pPr>
      <w:rPr>
        <w:rFonts w:ascii="Courier New" w:hAnsi="Courier New" w:cs="Courier New" w:hint="default"/>
      </w:rPr>
    </w:lvl>
    <w:lvl w:ilvl="2" w:tplc="59F211D4" w:tentative="1">
      <w:start w:val="1"/>
      <w:numFmt w:val="bullet"/>
      <w:lvlText w:val=""/>
      <w:lvlJc w:val="left"/>
      <w:pPr>
        <w:ind w:left="2160" w:hanging="360"/>
      </w:pPr>
      <w:rPr>
        <w:rFonts w:ascii="Wingdings" w:hAnsi="Wingdings" w:hint="default"/>
      </w:rPr>
    </w:lvl>
    <w:lvl w:ilvl="3" w:tplc="3C4A4E76" w:tentative="1">
      <w:start w:val="1"/>
      <w:numFmt w:val="bullet"/>
      <w:lvlText w:val=""/>
      <w:lvlJc w:val="left"/>
      <w:pPr>
        <w:ind w:left="2880" w:hanging="360"/>
      </w:pPr>
      <w:rPr>
        <w:rFonts w:ascii="Symbol" w:hAnsi="Symbol" w:hint="default"/>
      </w:rPr>
    </w:lvl>
    <w:lvl w:ilvl="4" w:tplc="75A6D8FA" w:tentative="1">
      <w:start w:val="1"/>
      <w:numFmt w:val="bullet"/>
      <w:lvlText w:val="o"/>
      <w:lvlJc w:val="left"/>
      <w:pPr>
        <w:ind w:left="3600" w:hanging="360"/>
      </w:pPr>
      <w:rPr>
        <w:rFonts w:ascii="Courier New" w:hAnsi="Courier New" w:cs="Courier New" w:hint="default"/>
      </w:rPr>
    </w:lvl>
    <w:lvl w:ilvl="5" w:tplc="AFEC7044" w:tentative="1">
      <w:start w:val="1"/>
      <w:numFmt w:val="bullet"/>
      <w:lvlText w:val=""/>
      <w:lvlJc w:val="left"/>
      <w:pPr>
        <w:ind w:left="4320" w:hanging="360"/>
      </w:pPr>
      <w:rPr>
        <w:rFonts w:ascii="Wingdings" w:hAnsi="Wingdings" w:hint="default"/>
      </w:rPr>
    </w:lvl>
    <w:lvl w:ilvl="6" w:tplc="844CDBF0" w:tentative="1">
      <w:start w:val="1"/>
      <w:numFmt w:val="bullet"/>
      <w:lvlText w:val=""/>
      <w:lvlJc w:val="left"/>
      <w:pPr>
        <w:ind w:left="5040" w:hanging="360"/>
      </w:pPr>
      <w:rPr>
        <w:rFonts w:ascii="Symbol" w:hAnsi="Symbol" w:hint="default"/>
      </w:rPr>
    </w:lvl>
    <w:lvl w:ilvl="7" w:tplc="14CC3116" w:tentative="1">
      <w:start w:val="1"/>
      <w:numFmt w:val="bullet"/>
      <w:lvlText w:val="o"/>
      <w:lvlJc w:val="left"/>
      <w:pPr>
        <w:ind w:left="5760" w:hanging="360"/>
      </w:pPr>
      <w:rPr>
        <w:rFonts w:ascii="Courier New" w:hAnsi="Courier New" w:cs="Courier New" w:hint="default"/>
      </w:rPr>
    </w:lvl>
    <w:lvl w:ilvl="8" w:tplc="90DCEC2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2B47"/>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2D77"/>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67C3"/>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0B94"/>
    <w:rsid w:val="009B6669"/>
    <w:rsid w:val="009D1FF8"/>
    <w:rsid w:val="009E75ED"/>
    <w:rsid w:val="009F1F2F"/>
    <w:rsid w:val="009F21A8"/>
    <w:rsid w:val="00A003C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271F"/>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1B3B"/>
    <w:rsid w:val="00CD7D97"/>
    <w:rsid w:val="00CE3EE6"/>
    <w:rsid w:val="00CE4BA1"/>
    <w:rsid w:val="00D000C7"/>
    <w:rsid w:val="00D52A9D"/>
    <w:rsid w:val="00D53F31"/>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0BAD"/>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6626"/>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A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D5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tandards.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to@standards.co.nz" TargetMode="External"/><Relationship Id="rId12" Type="http://schemas.openxmlformats.org/officeDocument/2006/relationships/hyperlink" Target="https://www.mfe.govt.nz/sites/default/files/media/Climate%20Change/minamata-convention-consultation.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amata@mfe.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fe.govt.nz/sites/default/files/media/Climate%20Change/minamata-convention-consultat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fe.govt.nz/sites/default/files/media/Climate%20Change/minamata-convention-consultation.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9E8DEB24.dotm</Template>
  <TotalTime>95</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67</cp:revision>
  <dcterms:created xsi:type="dcterms:W3CDTF">2017-07-03T10:42:00Z</dcterms:created>
  <dcterms:modified xsi:type="dcterms:W3CDTF">2020-07-16T07:39:00Z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bc68e412-a37d-4c6d-859f-0d49b9dc81f9</vt:lpwstr>
  </property>
  <property fmtid="{D5CDD505-2E9C-101B-9397-08002B2CF9AE}" pid="4" name="WTOCLASSIFICATION">
    <vt:lpwstr>WTO OFFICIAL</vt:lpwstr>
  </property>
</Properties>
</file>