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61A8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61A8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C30A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1"/>
            <w:r w:rsidRPr="002F6A28">
              <w:t xml:space="preserve"> </w:t>
            </w:r>
          </w:p>
          <w:p w:rsidR="00F85C99" w:rsidRPr="002F6A28" w:rsidRDefault="00761A8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Kuwait Standards &amp; Metrology Department (KOWSMD) </w:t>
            </w:r>
            <w:bookmarkEnd w:id="5"/>
          </w:p>
          <w:p w:rsidR="00F85C99" w:rsidRPr="002F6A28" w:rsidRDefault="00761A8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C30AF" w:rsidRPr="002F6A28" w:rsidRDefault="00761A80" w:rsidP="00AA646C">
            <w:r w:rsidRPr="002F6A28">
              <w:t>Public Authority for Industry (PAI)</w:t>
            </w:r>
          </w:p>
          <w:p w:rsidR="006C30AF" w:rsidRPr="002F6A28" w:rsidRDefault="00761A80" w:rsidP="00AA646C">
            <w:r w:rsidRPr="002F6A28">
              <w:t xml:space="preserve">P.O. BOX: 4690, Safat </w:t>
            </w:r>
          </w:p>
          <w:p w:rsidR="006C30AF" w:rsidRPr="002F6A28" w:rsidRDefault="00761A80" w:rsidP="00AA646C">
            <w:r w:rsidRPr="002F6A28">
              <w:t xml:space="preserve">13047 Kuwait </w:t>
            </w:r>
          </w:p>
          <w:p w:rsidR="006C30AF" w:rsidRPr="002F6A28" w:rsidRDefault="00761A80" w:rsidP="00AA646C">
            <w:r w:rsidRPr="002F6A28">
              <w:t xml:space="preserve">Tel.: +965 253 02 630 </w:t>
            </w:r>
          </w:p>
          <w:p w:rsidR="006C30AF" w:rsidRPr="00761A80" w:rsidRDefault="00761A80" w:rsidP="00AA646C">
            <w:pPr>
              <w:rPr>
                <w:lang w:val="fr-CH"/>
              </w:rPr>
            </w:pPr>
            <w:proofErr w:type="gramStart"/>
            <w:r w:rsidRPr="00761A80">
              <w:rPr>
                <w:lang w:val="fr-CH"/>
              </w:rPr>
              <w:t>Fax:</w:t>
            </w:r>
            <w:proofErr w:type="gramEnd"/>
            <w:r w:rsidRPr="00761A80">
              <w:rPr>
                <w:lang w:val="fr-CH"/>
              </w:rPr>
              <w:t xml:space="preserve"> +965 253 02 625 </w:t>
            </w:r>
          </w:p>
          <w:p w:rsidR="006C30AF" w:rsidRPr="00761A80" w:rsidRDefault="00761A80" w:rsidP="00AA646C">
            <w:pPr>
              <w:rPr>
                <w:lang w:val="fr-CH"/>
              </w:rPr>
            </w:pPr>
            <w:proofErr w:type="gramStart"/>
            <w:r w:rsidRPr="00761A80">
              <w:rPr>
                <w:lang w:val="fr-CH"/>
              </w:rPr>
              <w:t>E-mail:</w:t>
            </w:r>
            <w:proofErr w:type="gramEnd"/>
            <w:r w:rsidRPr="00761A80">
              <w:rPr>
                <w:lang w:val="fr-CH"/>
              </w:rPr>
              <w:t xml:space="preserve"> </w:t>
            </w:r>
            <w:hyperlink r:id="rId7" w:history="1">
              <w:r w:rsidRPr="002C1A88">
                <w:rPr>
                  <w:rStyle w:val="Lienhypertexte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  <w:r w:rsidRPr="00761A80">
              <w:rPr>
                <w:lang w:val="fr-CH"/>
              </w:rPr>
              <w:t xml:space="preserve">  </w:t>
            </w:r>
          </w:p>
          <w:p w:rsidR="006C30AF" w:rsidRPr="002F6A28" w:rsidRDefault="00761A80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61A8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All products fall under scope of KWS GSO IEC 60227-3:2019 Polyvinyl chloride insulated cables of rated voltages up to and including 450/750 V - Part 3: Non-sheathed cables for fixed wiring ICS 29.060.20</w:t>
            </w:r>
            <w:bookmarkEnd w:id="19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Polyvinyl chloride insulated cables of rated voltages up to and including 450/750 V - Part 3: Non</w:t>
            </w:r>
            <w:r w:rsidR="001B682F">
              <w:noBreakHyphen/>
            </w:r>
            <w:r w:rsidRPr="002F6A28">
              <w:t>sheathed cables for fixed wiring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Specifications for polyvinyl chloride insulated single-core non-sheathed cables for fixed wiring of rated voltages up to and including 450/750 V. This consolidated version</w:t>
            </w:r>
            <w:r>
              <w:t xml:space="preserve"> </w:t>
            </w:r>
            <w:r w:rsidRPr="002F6A28">
              <w:t>consists of the second edition (1993) and its amendment 1 (1997). Therefore, no need to order amendment in addition to this publication.</w:t>
            </w:r>
            <w:bookmarkEnd w:id="25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61A80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C30AF" w:rsidRPr="002F6A28" w:rsidRDefault="00761A80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60227-3:1993+AMD1:1997 CSV</w:t>
            </w:r>
          </w:p>
        </w:tc>
      </w:tr>
      <w:tr w:rsidR="006C30A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61A8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3 March 2019</w:t>
            </w:r>
            <w:bookmarkStart w:id="31" w:name="sps10b"/>
            <w:bookmarkEnd w:id="30"/>
            <w:r>
              <w:t>;</w:t>
            </w:r>
            <w:r w:rsidRPr="002F6A28">
              <w:t xml:space="preserve"> 180 days from date of publication of approved version by Kuwait ministry of commerce and industry </w:t>
            </w:r>
            <w:bookmarkEnd w:id="31"/>
          </w:p>
          <w:p w:rsidR="00EE3A11" w:rsidRPr="002F6A28" w:rsidRDefault="00761A8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1 September 2019</w:t>
            </w:r>
            <w:bookmarkStart w:id="34" w:name="sps11b"/>
            <w:bookmarkEnd w:id="33"/>
            <w:bookmarkEnd w:id="34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61A8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6C30A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61A8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61A8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C30AF" w:rsidRPr="002F6A28" w:rsidRDefault="00761A80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6C30AF" w:rsidRPr="002F6A28" w:rsidRDefault="00761A80" w:rsidP="00B16145">
            <w:pPr>
              <w:keepNext/>
              <w:keepLines/>
            </w:pPr>
            <w:r w:rsidRPr="002F6A28">
              <w:t xml:space="preserve">P.O. BOX: 4690, Safat </w:t>
            </w:r>
          </w:p>
          <w:p w:rsidR="006C30AF" w:rsidRPr="002F6A28" w:rsidRDefault="00761A80" w:rsidP="00B16145">
            <w:pPr>
              <w:keepNext/>
              <w:keepLines/>
            </w:pPr>
            <w:r w:rsidRPr="002F6A28">
              <w:t xml:space="preserve">13047 Kuwait </w:t>
            </w:r>
          </w:p>
          <w:p w:rsidR="006C30AF" w:rsidRPr="002F6A28" w:rsidRDefault="00761A80" w:rsidP="00B16145">
            <w:pPr>
              <w:keepNext/>
              <w:keepLines/>
            </w:pPr>
            <w:r w:rsidRPr="002F6A28">
              <w:t xml:space="preserve">Tel.: +965 253 02 630 </w:t>
            </w:r>
          </w:p>
          <w:p w:rsidR="006C30AF" w:rsidRPr="00761A80" w:rsidRDefault="00761A80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761A80">
              <w:rPr>
                <w:lang w:val="fr-CH"/>
              </w:rPr>
              <w:t>Fax:</w:t>
            </w:r>
            <w:proofErr w:type="gramEnd"/>
            <w:r w:rsidRPr="00761A80">
              <w:rPr>
                <w:lang w:val="fr-CH"/>
              </w:rPr>
              <w:t xml:space="preserve"> +965 253 02 625 </w:t>
            </w:r>
          </w:p>
          <w:p w:rsidR="006C30AF" w:rsidRPr="00761A80" w:rsidRDefault="00761A80" w:rsidP="00B16145">
            <w:pPr>
              <w:keepNext/>
              <w:keepLines/>
              <w:rPr>
                <w:lang w:val="fr-CH"/>
              </w:rPr>
            </w:pPr>
            <w:r w:rsidRPr="00761A80">
              <w:rPr>
                <w:lang w:val="fr-CH"/>
              </w:rPr>
              <w:t xml:space="preserve">E-mail: </w:t>
            </w:r>
            <w:hyperlink r:id="rId9" w:history="1">
              <w:r w:rsidRPr="002C1A88">
                <w:rPr>
                  <w:rStyle w:val="Lienhypertexte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6C30AF" w:rsidRPr="002F6A28" w:rsidRDefault="00761A8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1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E9" w:rsidRDefault="00761A80">
      <w:r>
        <w:separator/>
      </w:r>
    </w:p>
  </w:endnote>
  <w:endnote w:type="continuationSeparator" w:id="0">
    <w:p w:rsidR="004971E9" w:rsidRDefault="0076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61A80" w:rsidRDefault="00761A80" w:rsidP="00761A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61A80" w:rsidRDefault="00761A80" w:rsidP="00761A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61A8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E9" w:rsidRDefault="00761A80">
      <w:r>
        <w:separator/>
      </w:r>
    </w:p>
  </w:footnote>
  <w:footnote w:type="continuationSeparator" w:id="0">
    <w:p w:rsidR="004971E9" w:rsidRDefault="0076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A80">
      <w:t>G/TBT/N/KWT/523</w:t>
    </w:r>
  </w:p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A80">
      <w:t xml:space="preserve">- </w:t>
    </w:r>
    <w:r w:rsidRPr="00761A80">
      <w:fldChar w:fldCharType="begin"/>
    </w:r>
    <w:r w:rsidRPr="00761A80">
      <w:instrText xml:space="preserve"> PAGE </w:instrText>
    </w:r>
    <w:r w:rsidRPr="00761A80">
      <w:fldChar w:fldCharType="separate"/>
    </w:r>
    <w:r w:rsidRPr="00761A80">
      <w:rPr>
        <w:noProof/>
      </w:rPr>
      <w:t>2</w:t>
    </w:r>
    <w:r w:rsidRPr="00761A80">
      <w:fldChar w:fldCharType="end"/>
    </w:r>
    <w:r w:rsidRPr="00761A80">
      <w:t xml:space="preserve"> -</w:t>
    </w:r>
  </w:p>
  <w:p w:rsidR="009239F7" w:rsidRPr="00761A80" w:rsidRDefault="009239F7" w:rsidP="00761A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A80">
      <w:t>G/TBT/N/KWT/523</w:t>
    </w:r>
  </w:p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61A80" w:rsidRPr="00761A80" w:rsidRDefault="00761A80" w:rsidP="00761A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1A80">
      <w:t xml:space="preserve">- </w:t>
    </w:r>
    <w:r w:rsidRPr="00761A80">
      <w:fldChar w:fldCharType="begin"/>
    </w:r>
    <w:r w:rsidRPr="00761A80">
      <w:instrText xml:space="preserve"> PAGE </w:instrText>
    </w:r>
    <w:r w:rsidRPr="00761A80">
      <w:fldChar w:fldCharType="separate"/>
    </w:r>
    <w:r w:rsidRPr="00761A80">
      <w:rPr>
        <w:noProof/>
      </w:rPr>
      <w:t>2</w:t>
    </w:r>
    <w:r w:rsidRPr="00761A80">
      <w:fldChar w:fldCharType="end"/>
    </w:r>
    <w:r w:rsidRPr="00761A80">
      <w:t xml:space="preserve"> -</w:t>
    </w:r>
  </w:p>
  <w:p w:rsidR="009239F7" w:rsidRPr="00761A80" w:rsidRDefault="009239F7" w:rsidP="00761A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30A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61A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6C30A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4692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C30A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61A80" w:rsidRDefault="00761A80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G/TBT/N/KWT/523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C30A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40308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11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6C30A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61A8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B40308">
            <w:rPr>
              <w:color w:val="FF0000"/>
              <w:szCs w:val="16"/>
            </w:rPr>
            <w:t>19-1448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61A8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C30A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61A8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61A8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5A60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2413E0" w:tentative="1">
      <w:start w:val="1"/>
      <w:numFmt w:val="lowerLetter"/>
      <w:lvlText w:val="%2."/>
      <w:lvlJc w:val="left"/>
      <w:pPr>
        <w:ind w:left="1080" w:hanging="360"/>
      </w:pPr>
    </w:lvl>
    <w:lvl w:ilvl="2" w:tplc="F42A754A" w:tentative="1">
      <w:start w:val="1"/>
      <w:numFmt w:val="lowerRoman"/>
      <w:lvlText w:val="%3."/>
      <w:lvlJc w:val="right"/>
      <w:pPr>
        <w:ind w:left="1800" w:hanging="180"/>
      </w:pPr>
    </w:lvl>
    <w:lvl w:ilvl="3" w:tplc="15D4E614" w:tentative="1">
      <w:start w:val="1"/>
      <w:numFmt w:val="decimal"/>
      <w:lvlText w:val="%4."/>
      <w:lvlJc w:val="left"/>
      <w:pPr>
        <w:ind w:left="2520" w:hanging="360"/>
      </w:pPr>
    </w:lvl>
    <w:lvl w:ilvl="4" w:tplc="1F207896" w:tentative="1">
      <w:start w:val="1"/>
      <w:numFmt w:val="lowerLetter"/>
      <w:lvlText w:val="%5."/>
      <w:lvlJc w:val="left"/>
      <w:pPr>
        <w:ind w:left="3240" w:hanging="360"/>
      </w:pPr>
    </w:lvl>
    <w:lvl w:ilvl="5" w:tplc="8C38AAF6" w:tentative="1">
      <w:start w:val="1"/>
      <w:numFmt w:val="lowerRoman"/>
      <w:lvlText w:val="%6."/>
      <w:lvlJc w:val="right"/>
      <w:pPr>
        <w:ind w:left="3960" w:hanging="180"/>
      </w:pPr>
    </w:lvl>
    <w:lvl w:ilvl="6" w:tplc="4F840F2C" w:tentative="1">
      <w:start w:val="1"/>
      <w:numFmt w:val="decimal"/>
      <w:lvlText w:val="%7."/>
      <w:lvlJc w:val="left"/>
      <w:pPr>
        <w:ind w:left="4680" w:hanging="360"/>
      </w:pPr>
    </w:lvl>
    <w:lvl w:ilvl="7" w:tplc="4A6EC118" w:tentative="1">
      <w:start w:val="1"/>
      <w:numFmt w:val="lowerLetter"/>
      <w:lvlText w:val="%8."/>
      <w:lvlJc w:val="left"/>
      <w:pPr>
        <w:ind w:left="5400" w:hanging="360"/>
      </w:pPr>
    </w:lvl>
    <w:lvl w:ilvl="8" w:tplc="46AEF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B368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9A1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42C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68B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6EC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767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D40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A2C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42A5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682F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971E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30AF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1A80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4692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40308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6E9F30"/>
  <w15:docId w15:val="{BBA466EF-0901-4171-A3B0-5486073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6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2019-03-11T10:58:00Z</dcterms:created>
  <dcterms:modified xsi:type="dcterms:W3CDTF">2019-03-11T13:10:00Z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G/TBT/N/KWT/523</vt:lpwstr>
  </property>
</Properties>
</file>