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B5ABC" w:rsidP="002F6A28">
      <w:pPr>
        <w:pStyle w:val="Title"/>
        <w:rPr>
          <w:caps w:val="0"/>
          <w:kern w:val="0"/>
        </w:rPr>
      </w:pPr>
      <w:r w:rsidRPr="002F6A28">
        <w:rPr>
          <w:caps w:val="0"/>
          <w:kern w:val="0"/>
        </w:rPr>
        <w:t>NOTIFICATION</w:t>
      </w:r>
    </w:p>
    <w:p w:rsidR="009239F7" w:rsidRPr="002F6A28" w:rsidRDefault="000B5AB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82175" w:rsidTr="0069259F">
        <w:tc>
          <w:tcPr>
            <w:tcW w:w="713" w:type="dxa"/>
            <w:tcBorders>
              <w:bottom w:val="single" w:sz="6" w:space="0" w:color="auto"/>
            </w:tcBorders>
            <w:shd w:val="clear" w:color="auto" w:fill="auto"/>
          </w:tcPr>
          <w:p w:rsidR="00F85C99" w:rsidRPr="002F6A28" w:rsidRDefault="000B5AB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B5AB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0B5AB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B5AB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Environment</w:t>
            </w:r>
            <w:bookmarkEnd w:id="5"/>
          </w:p>
          <w:p w:rsidR="00F85C99" w:rsidRPr="002F6A28" w:rsidRDefault="000B5AB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A1F69" w:rsidRPr="002F6A28" w:rsidRDefault="000B5ABC" w:rsidP="00AA646C">
            <w:pPr>
              <w:spacing w:after="120"/>
              <w:jc w:val="left"/>
            </w:pPr>
            <w:r w:rsidRPr="002F6A28">
              <w:t xml:space="preserve">Chemical Products and Biocides Division, Ministry of Environment, </w:t>
            </w:r>
            <w:r w:rsidRPr="002F6A28">
              <w:br/>
              <w:t>Building #6, 11, Doum 6-ro, Sejong, 30103, Republic of Korea</w:t>
            </w:r>
            <w:r w:rsidRPr="002F6A28">
              <w:br/>
              <w:t xml:space="preserve">Tel: 82-44-201-6806 </w:t>
            </w:r>
            <w:r w:rsidRPr="002F6A28">
              <w:br/>
              <w:t>Fax: 82-44-201-6786</w:t>
            </w:r>
            <w:r w:rsidRPr="002F6A28">
              <w:br/>
              <w:t xml:space="preserve">E-mail: </w:t>
            </w:r>
            <w:hyperlink r:id="rId7" w:history="1">
              <w:r w:rsidRPr="002F6A28">
                <w:rPr>
                  <w:color w:val="0000FF"/>
                  <w:u w:val="single"/>
                </w:rPr>
                <w:t>asowner2@korea.kr</w:t>
              </w:r>
            </w:hyperlink>
            <w:r w:rsidRPr="002F6A28">
              <w:t xml:space="preserve"> </w:t>
            </w:r>
            <w:r w:rsidRPr="002F6A28">
              <w:br/>
              <w:t xml:space="preserve">Website: </w:t>
            </w:r>
            <w:hyperlink r:id="rId8" w:history="1">
              <w:r w:rsidRPr="002F6A28">
                <w:rPr>
                  <w:color w:val="0000FF"/>
                  <w:u w:val="single"/>
                </w:rPr>
                <w:t>www.me.go.kr</w:t>
              </w:r>
            </w:hyperlink>
            <w:bookmarkEnd w:id="7"/>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B5AB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X</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B5AB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Consumer chemical products and biocides</w:t>
            </w:r>
            <w:bookmarkStart w:id="20" w:name="sps3a"/>
            <w:bookmarkEnd w:id="20"/>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493985" w:rsidRDefault="000B5AB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p>
          <w:p w:rsidR="00493985" w:rsidRDefault="000B5ABC" w:rsidP="002F6A28">
            <w:pPr>
              <w:spacing w:before="120" w:after="120"/>
            </w:pPr>
            <w:r w:rsidRPr="00C379C8">
              <w:t>1. Draft partial amendment of the Enforcement Decree of the Consumer Chemical Products and Biocides Safety Act (47 page(s), in Korean</w:t>
            </w:r>
            <w:r>
              <w:t>)</w:t>
            </w:r>
          </w:p>
          <w:p w:rsidR="00F85C99" w:rsidRPr="002F6A28" w:rsidRDefault="000B5ABC" w:rsidP="002F6A28">
            <w:pPr>
              <w:spacing w:before="120" w:after="120"/>
            </w:pPr>
            <w:r w:rsidRPr="00C379C8">
              <w:t xml:space="preserve">2. Draft partial amendment of the Enforcement Rules of the Consumer Chemical Products and Biocides Safety Act </w:t>
            </w:r>
            <w:r w:rsidR="00493985">
              <w:t>(</w:t>
            </w:r>
            <w:r w:rsidRPr="00C379C8">
              <w:t>92 page(s), in Korean)</w:t>
            </w:r>
            <w:bookmarkStart w:id="22" w:name="sps5a"/>
            <w:bookmarkStart w:id="23" w:name="sps5c"/>
            <w:bookmarkStart w:id="24" w:name="sps5b"/>
            <w:bookmarkEnd w:id="22"/>
            <w:bookmarkEnd w:id="23"/>
            <w:bookmarkEnd w:id="24"/>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493985" w:rsidRDefault="000B5ABC" w:rsidP="002F6A28">
            <w:pPr>
              <w:spacing w:before="120" w:after="120"/>
            </w:pPr>
            <w:bookmarkStart w:id="25" w:name="X_TBT_Reg_6A"/>
            <w:r w:rsidRPr="002F6A28">
              <w:rPr>
                <w:b/>
              </w:rPr>
              <w:t>Description of content</w:t>
            </w:r>
            <w:bookmarkEnd w:id="25"/>
            <w:r w:rsidRPr="002F6A28">
              <w:rPr>
                <w:b/>
              </w:rPr>
              <w:t>:</w:t>
            </w:r>
            <w:r w:rsidR="00FE448B" w:rsidRPr="00C379C8">
              <w:t xml:space="preserve"> </w:t>
            </w:r>
          </w:p>
          <w:p w:rsidR="00F85C99" w:rsidRPr="002F6A28" w:rsidRDefault="000B5ABC" w:rsidP="002F6A28">
            <w:pPr>
              <w:spacing w:before="120" w:after="120"/>
              <w:rPr>
                <w:b/>
              </w:rPr>
            </w:pPr>
            <w:r w:rsidRPr="00C379C8">
              <w:t>1. Draft partial amendment of the Enforcement Decree provides:</w:t>
            </w:r>
          </w:p>
          <w:p w:rsidR="00FE448B" w:rsidRPr="00C379C8" w:rsidRDefault="000B5ABC" w:rsidP="002F6A28">
            <w:pPr>
              <w:spacing w:after="120"/>
            </w:pPr>
            <w:r w:rsidRPr="00C379C8">
              <w:t>The additional list of the substance or product exempted from compliance check, notification or approval; methods to apply for notification and approval of any change occurred in the already-notified or approved Consumer Chemical Products subject to Safety Check; an additional elements of similarity criteria that are applied to imported treated articles; reasons to allow repeated vertebrate tests; the minimum period of work experience required for technicians of testing institutes to be designated; the list of additional works that can be done by a representative assigned by overseas manufacturer; and information that the representative shall inform the importers.</w:t>
            </w:r>
          </w:p>
          <w:p w:rsidR="00FE448B" w:rsidRPr="00C379C8" w:rsidRDefault="000B5ABC" w:rsidP="002F6A28">
            <w:pPr>
              <w:spacing w:after="120"/>
            </w:pPr>
            <w:r w:rsidRPr="00C379C8">
              <w:t>2. Draft partial amendment of the Enforcement Rules provides:</w:t>
            </w:r>
          </w:p>
          <w:p w:rsidR="00FE448B" w:rsidRPr="00C379C8" w:rsidRDefault="000B5ABC" w:rsidP="002F6A28">
            <w:pPr>
              <w:spacing w:after="120"/>
            </w:pPr>
            <w:r w:rsidRPr="00C379C8">
              <w:t xml:space="preserve">The procedure for confirming whether a substance or product is subject to exemption from compliance check, notification, or approval; the list of changes to be notified or approved regarding the already-notified or approved Consumer Chemical Products subject to Safety Check, and relevant application forms; the list of information on Consumer Chemical </w:t>
            </w:r>
            <w:r w:rsidRPr="00C379C8">
              <w:lastRenderedPageBreak/>
              <w:t>Products subject to Safety Check that shall be disclosed to the public; improvement of a joint submission procedure for approval, and relevant data requirements; a method to allow temporary exemption to biocidal products from approval at a time of emergency; submission of evidence data to demonstrate effect or efficacy of consumer chemical product when notifying the competent authorities of it, if it is intended to indicate effect or efficacy from any active substance in product; prohibition of displaying any indication or expression on packaging and advertisement if it claims effect or efficacy that is different to those notified to or get approved by the competent authorities; a standard for manufacture or storage facilities to ensure quality management of approval-required products, and safety control standard thereof; qualification of a representative to be assigned by overseas manufacturer, and a procedure for notifying the competent authorities of the assignment or dismissal.</w:t>
            </w:r>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0B5AB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According to the amendment of the Consumer Chemical Products and Biocides Safety Act on 24 March 2020, these partial amendments of subordinate laws state the matters that are entrusted to support the implementation of the Act, as well as providing additional elements to improve the system to secure safety of people.; Prevention of deceptive practices and consumer protection; Protection of human health or safety; Reducing trade barriers and facilitating trade</w:t>
            </w:r>
            <w:bookmarkStart w:id="27" w:name="sps7f"/>
            <w:bookmarkEnd w:id="27"/>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B5AB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A1F69" w:rsidRPr="002F6A28" w:rsidRDefault="000B5ABC" w:rsidP="009E75ED">
            <w:pPr>
              <w:numPr>
                <w:ilvl w:val="0"/>
                <w:numId w:val="16"/>
              </w:numPr>
              <w:spacing w:before="120" w:after="120"/>
              <w:jc w:val="left"/>
              <w:rPr>
                <w:bCs/>
              </w:rPr>
            </w:pPr>
            <w:r w:rsidRPr="002F6A28">
              <w:rPr>
                <w:bCs/>
              </w:rPr>
              <w:t>ME Public Notice No. 2020-676 (30 July 20)</w:t>
            </w:r>
          </w:p>
          <w:p w:rsidR="006A1F69" w:rsidRPr="002F6A28" w:rsidRDefault="000B5ABC" w:rsidP="009E75ED">
            <w:pPr>
              <w:numPr>
                <w:ilvl w:val="0"/>
                <w:numId w:val="16"/>
              </w:numPr>
              <w:spacing w:before="120" w:after="120"/>
              <w:jc w:val="left"/>
              <w:rPr>
                <w:bCs/>
              </w:rPr>
            </w:pPr>
            <w:r w:rsidRPr="002F6A28">
              <w:rPr>
                <w:bCs/>
              </w:rPr>
              <w:t>ME Public Notice</w:t>
            </w:r>
            <w:r>
              <w:rPr>
                <w:bCs/>
              </w:rPr>
              <w:t xml:space="preserve"> </w:t>
            </w:r>
            <w:r w:rsidRPr="002F6A28">
              <w:rPr>
                <w:bCs/>
              </w:rPr>
              <w:t>No.2020-677 (30 July 20)</w:t>
            </w:r>
          </w:p>
          <w:p w:rsidR="00493985" w:rsidRDefault="005C0B9A" w:rsidP="009E75ED">
            <w:pPr>
              <w:spacing w:after="120"/>
              <w:jc w:val="left"/>
              <w:rPr>
                <w:bCs/>
              </w:rPr>
            </w:pPr>
            <w:hyperlink r:id="rId9" w:history="1">
              <w:r w:rsidR="000B5ABC" w:rsidRPr="002F6A28">
                <w:rPr>
                  <w:bCs/>
                  <w:color w:val="0000FF"/>
                  <w:u w:val="single"/>
                </w:rPr>
                <w:t>https://opinion.lawmaking.go.kr/gcom/ogLmPp/60038?pageIndex=2</w:t>
              </w:r>
            </w:hyperlink>
          </w:p>
          <w:p w:rsidR="006A1F69" w:rsidRPr="002F6A28" w:rsidRDefault="005C0B9A" w:rsidP="009E75ED">
            <w:pPr>
              <w:spacing w:after="120"/>
              <w:jc w:val="left"/>
              <w:rPr>
                <w:bCs/>
              </w:rPr>
            </w:pPr>
            <w:hyperlink r:id="rId10" w:history="1">
              <w:r w:rsidR="000B5ABC" w:rsidRPr="002F6A28">
                <w:rPr>
                  <w:bCs/>
                  <w:color w:val="0000FF"/>
                  <w:u w:val="single"/>
                </w:rPr>
                <w:t>https://opinion.lawmaking.go.kr/gcom/ogLmPp/60039?pageIndex=2</w:t>
              </w:r>
            </w:hyperlink>
          </w:p>
        </w:tc>
      </w:tr>
      <w:tr w:rsidR="00D82175" w:rsidTr="00AE6CC8">
        <w:trPr>
          <w:cantSplit/>
        </w:trPr>
        <w:tc>
          <w:tcPr>
            <w:tcW w:w="713" w:type="dxa"/>
            <w:tcBorders>
              <w:top w:val="single" w:sz="6" w:space="0" w:color="auto"/>
              <w:bottom w:val="single" w:sz="6" w:space="0" w:color="auto"/>
            </w:tcBorders>
            <w:shd w:val="clear" w:color="auto" w:fill="auto"/>
          </w:tcPr>
          <w:p w:rsidR="00EE3A11" w:rsidRPr="002F6A28" w:rsidRDefault="000B5AB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B5AB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After November 2020</w:t>
            </w:r>
            <w:bookmarkEnd w:id="31"/>
          </w:p>
          <w:p w:rsidR="00EE3A11" w:rsidRPr="002F6A28" w:rsidRDefault="000B5ABC" w:rsidP="008953C4">
            <w:pPr>
              <w:spacing w:after="120"/>
            </w:pPr>
            <w:bookmarkStart w:id="32" w:name="X_TBT_Reg_9B"/>
            <w:r w:rsidRPr="002F6A28">
              <w:rPr>
                <w:b/>
              </w:rPr>
              <w:t>Proposed date of entry into force</w:t>
            </w:r>
            <w:bookmarkEnd w:id="32"/>
            <w:r w:rsidRPr="002F6A28">
              <w:rPr>
                <w:b/>
              </w:rPr>
              <w:t>:</w:t>
            </w:r>
            <w:r w:rsidRPr="00C379C8">
              <w:t xml:space="preserve"> 1 January 2021</w:t>
            </w:r>
            <w:bookmarkStart w:id="33" w:name="sps11a"/>
            <w:bookmarkStart w:id="34" w:name="sps11b"/>
            <w:bookmarkEnd w:id="33"/>
            <w:r w:rsidRPr="002F6A28">
              <w:t>; Please note that several amended provisions in the Enforcement Rules will be entered into force on 1 July 2021: submission of evidence on effect or efficacy from active substance(s) in a product; limitation of indication or expression regarding effect or efficacy on packaging and advertisement.</w:t>
            </w:r>
            <w:bookmarkEnd w:id="34"/>
          </w:p>
        </w:tc>
      </w:tr>
      <w:tr w:rsidR="00D82175" w:rsidTr="0069259F">
        <w:tc>
          <w:tcPr>
            <w:tcW w:w="713" w:type="dxa"/>
            <w:tcBorders>
              <w:top w:val="single" w:sz="6" w:space="0" w:color="auto"/>
              <w:bottom w:val="single" w:sz="6" w:space="0" w:color="auto"/>
            </w:tcBorders>
            <w:shd w:val="clear" w:color="auto" w:fill="auto"/>
          </w:tcPr>
          <w:p w:rsidR="00F85C99" w:rsidRPr="002F6A28" w:rsidRDefault="000B5AB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B5ABC" w:rsidP="002F6A28">
            <w:pPr>
              <w:spacing w:before="120" w:after="120"/>
            </w:pPr>
            <w:bookmarkStart w:id="35" w:name="X_TBT_Reg_10A"/>
            <w:r w:rsidRPr="002F6A28">
              <w:rPr>
                <w:b/>
              </w:rPr>
              <w:t>Final date for comments</w:t>
            </w:r>
            <w:bookmarkEnd w:id="35"/>
            <w:r w:rsidRPr="002F6A28">
              <w:rPr>
                <w:b/>
              </w:rPr>
              <w:t>:</w:t>
            </w:r>
            <w:r w:rsidR="00EE3A11" w:rsidRPr="00C379C8">
              <w:t xml:space="preserve"> 50 days from notification; The Ministry of Environment reduces the comment period by 50 days as it is urgently proceeding the partial amendments of subordinate laws, in order to enforce the Consumer Chemical Products and Biocides Safety Act amended on 24 March 2020 from 1 January 2021 as planned, in which the current regulatory systems will be improved to ensure human health and safety against any harm of consumer chemical products and biocides.</w:t>
            </w:r>
            <w:bookmarkStart w:id="36" w:name="sps12a"/>
            <w:bookmarkEnd w:id="36"/>
          </w:p>
        </w:tc>
      </w:tr>
      <w:tr w:rsidR="00D82175" w:rsidTr="0069259F">
        <w:tc>
          <w:tcPr>
            <w:tcW w:w="713" w:type="dxa"/>
            <w:tcBorders>
              <w:top w:val="single" w:sz="6" w:space="0" w:color="auto"/>
            </w:tcBorders>
            <w:shd w:val="clear" w:color="auto" w:fill="auto"/>
          </w:tcPr>
          <w:p w:rsidR="00F85C99" w:rsidRPr="002F6A28" w:rsidRDefault="000B5A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B5AB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93985" w:rsidRDefault="000B5ABC" w:rsidP="00B16145">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93 Isu-ro Maengdong-myeon Eumseong-gun</w:t>
            </w:r>
            <w:r w:rsidRPr="002F6A28">
              <w:br/>
              <w:t>Chungchungbuk-do, 27737</w:t>
            </w:r>
            <w:r w:rsidRPr="002F6A28">
              <w:br/>
              <w:t>+(82) 43 870 5525</w:t>
            </w:r>
            <w:r w:rsidRPr="002F6A28">
              <w:br/>
              <w:t>+(82) 43 870 5682 (Fax)</w:t>
            </w:r>
            <w:r w:rsidRPr="002F6A28">
              <w:br/>
            </w:r>
            <w:hyperlink r:id="rId11" w:history="1">
              <w:r w:rsidRPr="002F6A28">
                <w:rPr>
                  <w:color w:val="0000FF"/>
                  <w:u w:val="single"/>
                </w:rPr>
                <w:t>tbt@korea.kr</w:t>
              </w:r>
            </w:hyperlink>
            <w:r w:rsidRPr="002F6A28">
              <w:br/>
            </w:r>
            <w:hyperlink r:id="rId12" w:history="1">
              <w:r w:rsidRPr="002F6A28">
                <w:rPr>
                  <w:color w:val="0000FF"/>
                  <w:u w:val="single"/>
                </w:rPr>
                <w:t>http://www.knowtbt.kr</w:t>
              </w:r>
            </w:hyperlink>
          </w:p>
          <w:p w:rsidR="00493985" w:rsidRDefault="005C0B9A" w:rsidP="00B16145">
            <w:pPr>
              <w:keepNext/>
              <w:keepLines/>
              <w:spacing w:before="120" w:after="120"/>
              <w:jc w:val="left"/>
            </w:pPr>
            <w:hyperlink r:id="rId13" w:history="1">
              <w:r w:rsidR="000B5ABC" w:rsidRPr="002F6A28">
                <w:rPr>
                  <w:color w:val="0000FF"/>
                  <w:u w:val="single"/>
                </w:rPr>
                <w:t>https://members.wto.org/crnattachments/2020/TBT/KOR/20_4667_00_x.pdf</w:t>
              </w:r>
            </w:hyperlink>
          </w:p>
          <w:p w:rsidR="006A1F69" w:rsidRPr="002F6A28" w:rsidRDefault="005C0B9A" w:rsidP="00B16145">
            <w:pPr>
              <w:keepNext/>
              <w:keepLines/>
              <w:spacing w:before="120" w:after="120"/>
              <w:jc w:val="left"/>
            </w:pPr>
            <w:hyperlink r:id="rId14" w:history="1">
              <w:r w:rsidR="000B5ABC" w:rsidRPr="002F6A28">
                <w:rPr>
                  <w:color w:val="0000FF"/>
                  <w:u w:val="single"/>
                </w:rPr>
                <w:t>https://members.wto.org/crnattachments/2020/TBT/KOR/20_4667_01_x.pdf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7A2" w:rsidRDefault="000B5ABC">
      <w:r>
        <w:separator/>
      </w:r>
    </w:p>
  </w:endnote>
  <w:endnote w:type="continuationSeparator" w:id="0">
    <w:p w:rsidR="00F777A2" w:rsidRDefault="000B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B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B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B5A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7A2" w:rsidRDefault="000B5ABC">
      <w:r>
        <w:separator/>
      </w:r>
    </w:p>
  </w:footnote>
  <w:footnote w:type="continuationSeparator" w:id="0">
    <w:p w:rsidR="00F777A2" w:rsidRDefault="000B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BC"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B5A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B5ABC" w:rsidP="009239F7">
    <w:pPr>
      <w:pStyle w:val="Header"/>
      <w:pBdr>
        <w:bottom w:val="single" w:sz="4" w:space="1" w:color="auto"/>
      </w:pBdr>
      <w:tabs>
        <w:tab w:val="clear" w:pos="4513"/>
        <w:tab w:val="clear" w:pos="9027"/>
      </w:tabs>
      <w:jc w:val="center"/>
    </w:pPr>
    <w:bookmarkStart w:id="41" w:name="spsSymbolHeader"/>
    <w:r w:rsidRPr="002F6A28">
      <w:t>G/TBT/N/KOR/911</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B5A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217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82175" w:rsidTr="008612A9">
      <w:trPr>
        <w:trHeight w:val="213"/>
        <w:jc w:val="center"/>
      </w:trPr>
      <w:tc>
        <w:tcPr>
          <w:tcW w:w="3794" w:type="dxa"/>
          <w:vMerge w:val="restart"/>
          <w:shd w:val="clear" w:color="auto" w:fill="FFFFFF"/>
          <w:tcMar>
            <w:left w:w="0" w:type="dxa"/>
            <w:right w:w="0" w:type="dxa"/>
          </w:tcMar>
        </w:tcPr>
        <w:p w:rsidR="00ED54E0" w:rsidRPr="009239F7" w:rsidRDefault="005C0B9A"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5pt;height:55.9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8217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B5ABC" w:rsidP="00B801E9">
          <w:pPr>
            <w:jc w:val="right"/>
            <w:rPr>
              <w:b/>
              <w:szCs w:val="16"/>
            </w:rPr>
          </w:pPr>
          <w:bookmarkStart w:id="43" w:name="bmkSymbols"/>
          <w:r w:rsidRPr="002F6A28">
            <w:rPr>
              <w:b/>
              <w:szCs w:val="16"/>
            </w:rPr>
            <w:t>G/TBT/N/KOR/911</w:t>
          </w:r>
          <w:bookmarkEnd w:id="43"/>
        </w:p>
      </w:tc>
    </w:tr>
    <w:tr w:rsidR="00D8217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B5ABC" w:rsidP="00B801E9">
          <w:pPr>
            <w:jc w:val="right"/>
            <w:rPr>
              <w:szCs w:val="16"/>
            </w:rPr>
          </w:pPr>
          <w:bookmarkStart w:id="44" w:name="spsDateDistribution"/>
          <w:bookmarkStart w:id="45" w:name="bmkDate"/>
          <w:bookmarkEnd w:id="44"/>
          <w:bookmarkEnd w:id="45"/>
          <w:r>
            <w:rPr>
              <w:szCs w:val="16"/>
            </w:rPr>
            <w:t>31 July 2020</w:t>
          </w:r>
        </w:p>
      </w:tc>
    </w:tr>
    <w:tr w:rsidR="00D8217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B5AB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5C0B9A">
            <w:rPr>
              <w:color w:val="FF0000"/>
              <w:szCs w:val="16"/>
            </w:rPr>
            <w:t>5353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0B5AB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8217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B5AB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B5AB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F0638E">
      <w:start w:val="1"/>
      <w:numFmt w:val="decimal"/>
      <w:pStyle w:val="SummaryText"/>
      <w:lvlText w:val="%1."/>
      <w:lvlJc w:val="left"/>
      <w:pPr>
        <w:ind w:left="360" w:hanging="360"/>
      </w:pPr>
    </w:lvl>
    <w:lvl w:ilvl="1" w:tplc="A3F8EF82" w:tentative="1">
      <w:start w:val="1"/>
      <w:numFmt w:val="lowerLetter"/>
      <w:lvlText w:val="%2."/>
      <w:lvlJc w:val="left"/>
      <w:pPr>
        <w:ind w:left="1080" w:hanging="360"/>
      </w:pPr>
    </w:lvl>
    <w:lvl w:ilvl="2" w:tplc="CE5A0DD0" w:tentative="1">
      <w:start w:val="1"/>
      <w:numFmt w:val="lowerRoman"/>
      <w:lvlText w:val="%3."/>
      <w:lvlJc w:val="right"/>
      <w:pPr>
        <w:ind w:left="1800" w:hanging="180"/>
      </w:pPr>
    </w:lvl>
    <w:lvl w:ilvl="3" w:tplc="4F98E054" w:tentative="1">
      <w:start w:val="1"/>
      <w:numFmt w:val="decimal"/>
      <w:lvlText w:val="%4."/>
      <w:lvlJc w:val="left"/>
      <w:pPr>
        <w:ind w:left="2520" w:hanging="360"/>
      </w:pPr>
    </w:lvl>
    <w:lvl w:ilvl="4" w:tplc="A2B81352" w:tentative="1">
      <w:start w:val="1"/>
      <w:numFmt w:val="lowerLetter"/>
      <w:lvlText w:val="%5."/>
      <w:lvlJc w:val="left"/>
      <w:pPr>
        <w:ind w:left="3240" w:hanging="360"/>
      </w:pPr>
    </w:lvl>
    <w:lvl w:ilvl="5" w:tplc="940C305A" w:tentative="1">
      <w:start w:val="1"/>
      <w:numFmt w:val="lowerRoman"/>
      <w:lvlText w:val="%6."/>
      <w:lvlJc w:val="right"/>
      <w:pPr>
        <w:ind w:left="3960" w:hanging="180"/>
      </w:pPr>
    </w:lvl>
    <w:lvl w:ilvl="6" w:tplc="7766F8FE" w:tentative="1">
      <w:start w:val="1"/>
      <w:numFmt w:val="decimal"/>
      <w:lvlText w:val="%7."/>
      <w:lvlJc w:val="left"/>
      <w:pPr>
        <w:ind w:left="4680" w:hanging="360"/>
      </w:pPr>
    </w:lvl>
    <w:lvl w:ilvl="7" w:tplc="BFE0898A" w:tentative="1">
      <w:start w:val="1"/>
      <w:numFmt w:val="lowerLetter"/>
      <w:lvlText w:val="%8."/>
      <w:lvlJc w:val="left"/>
      <w:pPr>
        <w:ind w:left="5400" w:hanging="360"/>
      </w:pPr>
    </w:lvl>
    <w:lvl w:ilvl="8" w:tplc="DD464BA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DF07A1A">
      <w:start w:val="1"/>
      <w:numFmt w:val="bullet"/>
      <w:lvlText w:val=""/>
      <w:lvlJc w:val="left"/>
      <w:pPr>
        <w:ind w:left="720" w:hanging="360"/>
      </w:pPr>
      <w:rPr>
        <w:rFonts w:ascii="Symbol" w:hAnsi="Symbol"/>
      </w:rPr>
    </w:lvl>
    <w:lvl w:ilvl="1" w:tplc="C322984A">
      <w:start w:val="1"/>
      <w:numFmt w:val="bullet"/>
      <w:lvlText w:val="o"/>
      <w:lvlJc w:val="left"/>
      <w:pPr>
        <w:tabs>
          <w:tab w:val="num" w:pos="1440"/>
        </w:tabs>
        <w:ind w:left="1440" w:hanging="360"/>
      </w:pPr>
      <w:rPr>
        <w:rFonts w:ascii="Courier New" w:hAnsi="Courier New"/>
      </w:rPr>
    </w:lvl>
    <w:lvl w:ilvl="2" w:tplc="BE94DFC6">
      <w:start w:val="1"/>
      <w:numFmt w:val="bullet"/>
      <w:lvlText w:val=""/>
      <w:lvlJc w:val="left"/>
      <w:pPr>
        <w:tabs>
          <w:tab w:val="num" w:pos="2160"/>
        </w:tabs>
        <w:ind w:left="2160" w:hanging="360"/>
      </w:pPr>
      <w:rPr>
        <w:rFonts w:ascii="Wingdings" w:hAnsi="Wingdings"/>
      </w:rPr>
    </w:lvl>
    <w:lvl w:ilvl="3" w:tplc="655E6714">
      <w:start w:val="1"/>
      <w:numFmt w:val="bullet"/>
      <w:lvlText w:val=""/>
      <w:lvlJc w:val="left"/>
      <w:pPr>
        <w:tabs>
          <w:tab w:val="num" w:pos="2880"/>
        </w:tabs>
        <w:ind w:left="2880" w:hanging="360"/>
      </w:pPr>
      <w:rPr>
        <w:rFonts w:ascii="Symbol" w:hAnsi="Symbol"/>
      </w:rPr>
    </w:lvl>
    <w:lvl w:ilvl="4" w:tplc="DE4ED07A">
      <w:start w:val="1"/>
      <w:numFmt w:val="bullet"/>
      <w:lvlText w:val="o"/>
      <w:lvlJc w:val="left"/>
      <w:pPr>
        <w:tabs>
          <w:tab w:val="num" w:pos="3600"/>
        </w:tabs>
        <w:ind w:left="3600" w:hanging="360"/>
      </w:pPr>
      <w:rPr>
        <w:rFonts w:ascii="Courier New" w:hAnsi="Courier New"/>
      </w:rPr>
    </w:lvl>
    <w:lvl w:ilvl="5" w:tplc="5C64E4B0">
      <w:start w:val="1"/>
      <w:numFmt w:val="bullet"/>
      <w:lvlText w:val=""/>
      <w:lvlJc w:val="left"/>
      <w:pPr>
        <w:tabs>
          <w:tab w:val="num" w:pos="4320"/>
        </w:tabs>
        <w:ind w:left="4320" w:hanging="360"/>
      </w:pPr>
      <w:rPr>
        <w:rFonts w:ascii="Wingdings" w:hAnsi="Wingdings"/>
      </w:rPr>
    </w:lvl>
    <w:lvl w:ilvl="6" w:tplc="F7E23C38">
      <w:start w:val="1"/>
      <w:numFmt w:val="bullet"/>
      <w:lvlText w:val=""/>
      <w:lvlJc w:val="left"/>
      <w:pPr>
        <w:tabs>
          <w:tab w:val="num" w:pos="5040"/>
        </w:tabs>
        <w:ind w:left="5040" w:hanging="360"/>
      </w:pPr>
      <w:rPr>
        <w:rFonts w:ascii="Symbol" w:hAnsi="Symbol"/>
      </w:rPr>
    </w:lvl>
    <w:lvl w:ilvl="7" w:tplc="B2608570">
      <w:start w:val="1"/>
      <w:numFmt w:val="bullet"/>
      <w:lvlText w:val="o"/>
      <w:lvlJc w:val="left"/>
      <w:pPr>
        <w:tabs>
          <w:tab w:val="num" w:pos="5760"/>
        </w:tabs>
        <w:ind w:left="5760" w:hanging="360"/>
      </w:pPr>
      <w:rPr>
        <w:rFonts w:ascii="Courier New" w:hAnsi="Courier New"/>
      </w:rPr>
    </w:lvl>
    <w:lvl w:ilvl="8" w:tplc="A97C8A8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B5ABC"/>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3985"/>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0B9A"/>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1F69"/>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2175"/>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77A2"/>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E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yperlink" Target="https://members.wto.org/crnattachments/2020/TBT/KOR/20_4667_00_x.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sowner2@korea.kr" TargetMode="External"/><Relationship Id="rId12" Type="http://schemas.openxmlformats.org/officeDocument/2006/relationships/hyperlink" Target="http://www.knowtbt.k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t@korea.k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pinion.lawmaking.go.kr/gcom/ogLmPp/60039?pageIndex=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pinion.lawmaking.go.kr/gcom/ogLmPp/60038?pageIndex=2" TargetMode="External"/><Relationship Id="rId14" Type="http://schemas.openxmlformats.org/officeDocument/2006/relationships/hyperlink" Target="https://members.wto.org/crnattachments/2020/TBT/KOR/20_4667_01_x.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7e77d250-b28e-4b98-abce-0381f185c19d</vt:lpwstr>
  </property>
  <property fmtid="{D5CDD505-2E9C-101B-9397-08002B2CF9AE}" pid="4" name="WTOCLASSIFICATION">
    <vt:lpwstr>WTO OFFICIAL</vt:lpwstr>
  </property>
</Properties>
</file>