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92CC5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92CC5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964BB6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:rsidR="00F85C99" w:rsidRPr="002F6A28" w:rsidRDefault="00992CC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:rsidR="00F85C99" w:rsidRPr="002F6A28" w:rsidRDefault="00992CC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964BB6" w:rsidRPr="002F6A28" w:rsidRDefault="00992CC5" w:rsidP="00AA646C">
            <w:r w:rsidRPr="002F6A28">
              <w:t>P.O. Box: 54974-00200, Nairobi, Kenya</w:t>
            </w:r>
          </w:p>
          <w:p w:rsidR="00964BB6" w:rsidRPr="002F6A28" w:rsidRDefault="00992CC5" w:rsidP="00AA646C">
            <w:r w:rsidRPr="002F6A28">
              <w:t>Telephone: + (254) 020 605490, 605506/6948258</w:t>
            </w:r>
          </w:p>
          <w:p w:rsidR="00964BB6" w:rsidRPr="00FC2DBC" w:rsidRDefault="00992CC5" w:rsidP="00AA646C">
            <w:r w:rsidRPr="00FC2DBC">
              <w:t>Fax: + (254) 020 609660/609665</w:t>
            </w:r>
          </w:p>
          <w:p w:rsidR="00964BB6" w:rsidRPr="002F6A28" w:rsidRDefault="00992CC5" w:rsidP="00992CC5">
            <w:pPr>
              <w:spacing w:after="120"/>
            </w:pPr>
            <w:r w:rsidRPr="00FC2DBC">
              <w:t xml:space="preserve">E-mail: </w:t>
            </w:r>
            <w:hyperlink r:id="rId7" w:history="1">
              <w:r w:rsidRPr="00FC2DBC">
                <w:rPr>
                  <w:rStyle w:val="Lienhypertext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92CC5" w:rsidP="002F6A28">
            <w:pPr>
              <w:spacing w:before="120" w:after="120"/>
            </w:pPr>
            <w:bookmarkStart w:id="7" w:name="X_TBT_Reg_3A"/>
            <w:r w:rsidRPr="002F6A28">
              <w:rPr>
                <w:b/>
              </w:rPr>
              <w:t>Notified under Article 2.9.2</w:t>
            </w:r>
            <w:bookmarkEnd w:id="7"/>
            <w:r w:rsidRPr="002F6A28">
              <w:rPr>
                <w:b/>
              </w:rPr>
              <w:t xml:space="preserve"> [</w:t>
            </w:r>
            <w:bookmarkStart w:id="8" w:name="tbt3a"/>
            <w:r w:rsidRPr="002F6A28">
              <w:rPr>
                <w:b/>
              </w:rPr>
              <w:t>X</w:t>
            </w:r>
            <w:bookmarkEnd w:id="8"/>
            <w:r w:rsidRPr="002F6A28">
              <w:rPr>
                <w:b/>
              </w:rPr>
              <w:t xml:space="preserve">], </w:t>
            </w:r>
            <w:bookmarkStart w:id="9" w:name="X_TBT_Reg_3B"/>
            <w:r w:rsidRPr="002F6A28">
              <w:rPr>
                <w:b/>
              </w:rPr>
              <w:t>2.10.1</w:t>
            </w:r>
            <w:bookmarkEnd w:id="9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0" w:name="tbt3b"/>
            <w:r w:rsidRPr="002F6A28">
              <w:rPr>
                <w:b/>
              </w:rPr>
              <w:t>  </w:t>
            </w:r>
            <w:bookmarkEnd w:id="10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bookmarkStart w:id="12" w:name="tbt3c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 xml:space="preserve">], </w:t>
            </w:r>
            <w:bookmarkStart w:id="13" w:name="X_TBT_Reg_3D"/>
            <w:r w:rsidRPr="002F6A28">
              <w:rPr>
                <w:b/>
              </w:rPr>
              <w:t>5.7.1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d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E"/>
            <w:r w:rsidRPr="002F6A28">
              <w:rPr>
                <w:b/>
              </w:rPr>
              <w:t>other</w:t>
            </w:r>
            <w:bookmarkEnd w:id="15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6" w:name="tbt3e"/>
            <w:bookmarkEnd w:id="16"/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</w:pPr>
            <w:bookmarkStart w:id="17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3a"/>
            <w:r w:rsidRPr="002F6A28">
              <w:rPr>
                <w:bCs/>
              </w:rPr>
              <w:t>Textile fabrics (ICS 59.080.30)</w:t>
            </w:r>
            <w:bookmarkEnd w:id="18"/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</w:pPr>
            <w:bookmarkStart w:id="19" w:name="X_TBT_Reg_5A"/>
            <w:r w:rsidRPr="002F6A28">
              <w:rPr>
                <w:b/>
              </w:rPr>
              <w:t>Title, number of pages and language(s) of the notified document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0" w:name="sps5a"/>
            <w:r w:rsidRPr="002F6A28">
              <w:t>DEAS 950:2019 Disposable baby diapers — Specification (22 page(s), in English)</w:t>
            </w:r>
            <w:bookmarkStart w:id="21" w:name="sps5c"/>
            <w:bookmarkStart w:id="22" w:name="sps5b"/>
            <w:bookmarkEnd w:id="20"/>
            <w:bookmarkEnd w:id="21"/>
            <w:bookmarkEnd w:id="22"/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2F6A28">
            <w:pPr>
              <w:spacing w:before="120" w:after="120"/>
              <w:rPr>
                <w:b/>
              </w:rPr>
            </w:pPr>
            <w:bookmarkStart w:id="23" w:name="X_TBT_Reg_6A"/>
            <w:r w:rsidRPr="002F6A28">
              <w:rPr>
                <w:b/>
              </w:rPr>
              <w:t>Description of content</w:t>
            </w:r>
            <w:bookmarkEnd w:id="23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4" w:name="sps6a"/>
            <w:r w:rsidRPr="002F6A28">
              <w:rPr>
                <w:lang w:eastAsia="en-GB"/>
              </w:rPr>
              <w:t>This draft East African Standard specifies the requirements and test methods for disposable baby diapers.</w:t>
            </w:r>
            <w:bookmarkEnd w:id="24"/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FC2DB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FC2DBC">
            <w:pPr>
              <w:spacing w:before="80" w:after="8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Quality requirements</w:t>
            </w:r>
            <w:bookmarkEnd w:id="26"/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FC2DB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FC2DBC">
            <w:pPr>
              <w:spacing w:before="80" w:after="8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bookmarkStart w:id="28" w:name="sps9a"/>
            <w:r w:rsidRPr="002F6A28">
              <w:rPr>
                <w:bCs/>
              </w:rPr>
              <w:t>N/A</w:t>
            </w:r>
            <w:bookmarkStart w:id="29" w:name="sps9b"/>
            <w:bookmarkEnd w:id="28"/>
            <w:bookmarkEnd w:id="29"/>
          </w:p>
        </w:tc>
      </w:tr>
      <w:tr w:rsidR="00964BB6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92CC5" w:rsidP="00FC2DB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92CC5" w:rsidP="00FC2DBC">
            <w:pPr>
              <w:spacing w:before="80" w:after="8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2019</w:t>
            </w:r>
            <w:bookmarkEnd w:id="32"/>
          </w:p>
          <w:p w:rsidR="00EE3A11" w:rsidRPr="002F6A28" w:rsidRDefault="00992CC5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FC2DBC">
            <w:pPr>
              <w:spacing w:before="80" w:after="8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92CC5" w:rsidP="00FC2DBC">
            <w:pPr>
              <w:spacing w:before="80" w:after="8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7" w:name="sps12a"/>
            <w:r w:rsidRPr="002F6A28">
              <w:rPr>
                <w:bCs/>
              </w:rPr>
              <w:t>14 May 2019</w:t>
            </w:r>
            <w:bookmarkEnd w:id="37"/>
          </w:p>
        </w:tc>
      </w:tr>
      <w:tr w:rsidR="00964BB6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92CC5" w:rsidP="00FC2DBC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92CC5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:rsidR="00964BB6" w:rsidRPr="002F6A28" w:rsidRDefault="00992CC5" w:rsidP="00B16145">
            <w:pPr>
              <w:keepNext/>
              <w:keepLines/>
            </w:pPr>
            <w:r w:rsidRPr="002F6A28">
              <w:t>Kenya Bureau of Standards</w:t>
            </w:r>
          </w:p>
          <w:p w:rsidR="00964BB6" w:rsidRPr="002F6A28" w:rsidRDefault="00992CC5" w:rsidP="00B16145">
            <w:pPr>
              <w:keepNext/>
              <w:keepLines/>
            </w:pPr>
            <w:r w:rsidRPr="002F6A28">
              <w:t>WTO/TBT National Enquiry Point</w:t>
            </w:r>
          </w:p>
          <w:p w:rsidR="00964BB6" w:rsidRPr="002F6A28" w:rsidRDefault="00992CC5" w:rsidP="00B16145">
            <w:pPr>
              <w:keepNext/>
              <w:keepLines/>
            </w:pPr>
            <w:r w:rsidRPr="002F6A28">
              <w:t>P.O. Box: 54974-00200, Nairobi, Kenya</w:t>
            </w:r>
          </w:p>
          <w:p w:rsidR="00964BB6" w:rsidRPr="002F6A28" w:rsidRDefault="00992CC5" w:rsidP="00B16145">
            <w:pPr>
              <w:keepNext/>
              <w:keepLines/>
            </w:pPr>
            <w:r w:rsidRPr="002F6A28">
              <w:t>Telephone: + (254) 020 605490, 605506/6948258</w:t>
            </w:r>
          </w:p>
          <w:p w:rsidR="00964BB6" w:rsidRPr="002F6A28" w:rsidRDefault="00992CC5" w:rsidP="00B16145">
            <w:pPr>
              <w:keepNext/>
              <w:keepLines/>
            </w:pPr>
            <w:r w:rsidRPr="002F6A28">
              <w:t>Fax: + (254) 020 609660/609665</w:t>
            </w:r>
          </w:p>
          <w:p w:rsidR="00964BB6" w:rsidRPr="002F6A28" w:rsidRDefault="00992CC5" w:rsidP="00992CC5">
            <w:pPr>
              <w:keepNext/>
              <w:keepLines/>
            </w:pPr>
            <w:r w:rsidRPr="002F6A28">
              <w:t xml:space="preserve">E-mail: info@kebs.org; Website: </w:t>
            </w:r>
            <w:hyperlink r:id="rId9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:rsidR="00992CC5" w:rsidRPr="00992CC5" w:rsidRDefault="006442D3" w:rsidP="00B16145">
            <w:pPr>
              <w:keepNext/>
              <w:keepLines/>
              <w:spacing w:before="120" w:after="120"/>
              <w:rPr>
                <w:color w:val="0000FF"/>
                <w:u w:val="single"/>
              </w:rPr>
            </w:pPr>
            <w:hyperlink r:id="rId10" w:history="1">
              <w:r w:rsidR="00992CC5" w:rsidRPr="002F6A28">
                <w:rPr>
                  <w:color w:val="0000FF"/>
                  <w:u w:val="single"/>
                </w:rPr>
                <w:t>https://members.wto.org/crnattachments/2019/TBT/KEN/19_1808_00_e.pdf</w:t>
              </w:r>
            </w:hyperlink>
            <w:bookmarkEnd w:id="41"/>
          </w:p>
        </w:tc>
      </w:tr>
    </w:tbl>
    <w:p w:rsidR="00EE3A11" w:rsidRPr="002F6A28" w:rsidRDefault="00EE3A11" w:rsidP="002F6A28"/>
    <w:sectPr w:rsidR="00EE3A11" w:rsidRPr="002F6A28" w:rsidSect="00FC2D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709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45D" w:rsidRDefault="00992CC5">
      <w:r>
        <w:separator/>
      </w:r>
    </w:p>
  </w:endnote>
  <w:endnote w:type="continuationSeparator" w:id="0">
    <w:p w:rsidR="0050245D" w:rsidRDefault="009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C6780" w:rsidRDefault="004C6780" w:rsidP="004C678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4C6780" w:rsidRDefault="004C6780" w:rsidP="004C678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92CC5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45D" w:rsidRDefault="00992CC5">
      <w:r>
        <w:separator/>
      </w:r>
    </w:p>
  </w:footnote>
  <w:footnote w:type="continuationSeparator" w:id="0">
    <w:p w:rsidR="0050245D" w:rsidRDefault="00992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80" w:rsidRPr="004C6780" w:rsidRDefault="004C6780" w:rsidP="004C67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6780">
      <w:t>G/TBT/N/KEN/853</w:t>
    </w:r>
  </w:p>
  <w:p w:rsidR="004C6780" w:rsidRPr="004C6780" w:rsidRDefault="004C6780" w:rsidP="004C67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6780" w:rsidRPr="004C6780" w:rsidRDefault="004C6780" w:rsidP="004C67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6780">
      <w:t xml:space="preserve">- </w:t>
    </w:r>
    <w:r w:rsidRPr="004C6780">
      <w:fldChar w:fldCharType="begin"/>
    </w:r>
    <w:r w:rsidRPr="004C6780">
      <w:instrText xml:space="preserve"> PAGE </w:instrText>
    </w:r>
    <w:r w:rsidRPr="004C6780">
      <w:fldChar w:fldCharType="separate"/>
    </w:r>
    <w:r w:rsidRPr="004C6780">
      <w:rPr>
        <w:noProof/>
      </w:rPr>
      <w:t>2</w:t>
    </w:r>
    <w:r w:rsidRPr="004C6780">
      <w:fldChar w:fldCharType="end"/>
    </w:r>
    <w:r w:rsidRPr="004C6780">
      <w:t xml:space="preserve"> -</w:t>
    </w:r>
  </w:p>
  <w:p w:rsidR="009239F7" w:rsidRPr="004C6780" w:rsidRDefault="009239F7" w:rsidP="004C678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780" w:rsidRPr="004C6780" w:rsidRDefault="004C6780" w:rsidP="004C67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6780">
      <w:t>G/TBT/N/KEN/853</w:t>
    </w:r>
  </w:p>
  <w:p w:rsidR="004C6780" w:rsidRPr="004C6780" w:rsidRDefault="004C6780" w:rsidP="004C67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C6780" w:rsidRPr="004C6780" w:rsidRDefault="004C6780" w:rsidP="004C678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C6780">
      <w:t xml:space="preserve">- </w:t>
    </w:r>
    <w:r w:rsidRPr="004C6780">
      <w:fldChar w:fldCharType="begin"/>
    </w:r>
    <w:r w:rsidRPr="004C6780">
      <w:instrText xml:space="preserve"> PAGE </w:instrText>
    </w:r>
    <w:r w:rsidRPr="004C6780">
      <w:fldChar w:fldCharType="separate"/>
    </w:r>
    <w:r w:rsidRPr="004C6780">
      <w:rPr>
        <w:noProof/>
      </w:rPr>
      <w:t>2</w:t>
    </w:r>
    <w:r w:rsidRPr="004C6780">
      <w:fldChar w:fldCharType="end"/>
    </w:r>
    <w:r w:rsidRPr="004C6780">
      <w:t xml:space="preserve"> -</w:t>
    </w:r>
  </w:p>
  <w:p w:rsidR="009239F7" w:rsidRPr="004C6780" w:rsidRDefault="009239F7" w:rsidP="004C678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4BB6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4C6780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2"/>
    <w:tr w:rsidR="00964BB6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AE42C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964BB6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C6780" w:rsidRDefault="004C6780" w:rsidP="00B801E9">
          <w:pPr>
            <w:jc w:val="right"/>
            <w:rPr>
              <w:b/>
              <w:szCs w:val="16"/>
            </w:rPr>
          </w:pPr>
          <w:bookmarkStart w:id="43" w:name="bmkSymbols"/>
          <w:r>
            <w:rPr>
              <w:b/>
              <w:szCs w:val="16"/>
            </w:rPr>
            <w:t>G/TBT/N/KEN/853</w:t>
          </w:r>
        </w:p>
        <w:bookmarkEnd w:id="43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964BB6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442D3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 xml:space="preserve">1 April </w:t>
          </w:r>
          <w:r>
            <w:rPr>
              <w:szCs w:val="16"/>
            </w:rPr>
            <w:t>2019</w:t>
          </w:r>
          <w:bookmarkStart w:id="46" w:name="_GoBack"/>
          <w:bookmarkEnd w:id="46"/>
        </w:p>
      </w:tc>
    </w:tr>
    <w:tr w:rsidR="00964BB6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92CC5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 w:rsidR="006442D3">
            <w:rPr>
              <w:color w:val="FF0000"/>
              <w:szCs w:val="16"/>
            </w:rPr>
            <w:t>19-2010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92CC5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964BB6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4C6780" w:rsidP="00B801E9">
          <w:pPr>
            <w:jc w:val="left"/>
            <w:rPr>
              <w:sz w:val="14"/>
              <w:szCs w:val="16"/>
            </w:rPr>
          </w:pPr>
          <w:bookmarkStart w:id="50" w:name="bmkCommittee"/>
          <w:r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4C6780" w:rsidP="00B801E9">
          <w:pPr>
            <w:jc w:val="right"/>
            <w:rPr>
              <w:bCs/>
              <w:szCs w:val="18"/>
            </w:rPr>
          </w:pPr>
          <w:bookmarkStart w:id="51" w:name="bmkLanguage"/>
          <w:r>
            <w:rPr>
              <w:bCs/>
              <w:szCs w:val="18"/>
            </w:rPr>
            <w:t>Original: English</w:t>
          </w:r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7B4BD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5CE0E10" w:tentative="1">
      <w:start w:val="1"/>
      <w:numFmt w:val="lowerLetter"/>
      <w:lvlText w:val="%2."/>
      <w:lvlJc w:val="left"/>
      <w:pPr>
        <w:ind w:left="1080" w:hanging="360"/>
      </w:pPr>
    </w:lvl>
    <w:lvl w:ilvl="2" w:tplc="B9B4BE8A" w:tentative="1">
      <w:start w:val="1"/>
      <w:numFmt w:val="lowerRoman"/>
      <w:lvlText w:val="%3."/>
      <w:lvlJc w:val="right"/>
      <w:pPr>
        <w:ind w:left="1800" w:hanging="180"/>
      </w:pPr>
    </w:lvl>
    <w:lvl w:ilvl="3" w:tplc="3878CF30" w:tentative="1">
      <w:start w:val="1"/>
      <w:numFmt w:val="decimal"/>
      <w:lvlText w:val="%4."/>
      <w:lvlJc w:val="left"/>
      <w:pPr>
        <w:ind w:left="2520" w:hanging="360"/>
      </w:pPr>
    </w:lvl>
    <w:lvl w:ilvl="4" w:tplc="E21247B6" w:tentative="1">
      <w:start w:val="1"/>
      <w:numFmt w:val="lowerLetter"/>
      <w:lvlText w:val="%5."/>
      <w:lvlJc w:val="left"/>
      <w:pPr>
        <w:ind w:left="3240" w:hanging="360"/>
      </w:pPr>
    </w:lvl>
    <w:lvl w:ilvl="5" w:tplc="74EE72A4" w:tentative="1">
      <w:start w:val="1"/>
      <w:numFmt w:val="lowerRoman"/>
      <w:lvlText w:val="%6."/>
      <w:lvlJc w:val="right"/>
      <w:pPr>
        <w:ind w:left="3960" w:hanging="180"/>
      </w:pPr>
    </w:lvl>
    <w:lvl w:ilvl="6" w:tplc="73F6288C" w:tentative="1">
      <w:start w:val="1"/>
      <w:numFmt w:val="decimal"/>
      <w:lvlText w:val="%7."/>
      <w:lvlJc w:val="left"/>
      <w:pPr>
        <w:ind w:left="4680" w:hanging="360"/>
      </w:pPr>
    </w:lvl>
    <w:lvl w:ilvl="7" w:tplc="E848D458" w:tentative="1">
      <w:start w:val="1"/>
      <w:numFmt w:val="lowerLetter"/>
      <w:lvlText w:val="%8."/>
      <w:lvlJc w:val="left"/>
      <w:pPr>
        <w:ind w:left="5400" w:hanging="360"/>
      </w:pPr>
    </w:lvl>
    <w:lvl w:ilvl="8" w:tplc="BF0E259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C6780"/>
    <w:rsid w:val="004E51B2"/>
    <w:rsid w:val="004F203A"/>
    <w:rsid w:val="0050245D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442D3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BB6"/>
    <w:rsid w:val="00964F4F"/>
    <w:rsid w:val="0097650D"/>
    <w:rsid w:val="009811DD"/>
    <w:rsid w:val="00984DF3"/>
    <w:rsid w:val="00990E7D"/>
    <w:rsid w:val="00992CC5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42CB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2D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E7D3FC"/>
  <w15:docId w15:val="{F0D77107-351C-4416-BD4D-DA14C9F2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99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9/TBT/KEN/19_1808_00_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2019-04-01T06:27:00Z</dcterms:created>
  <dcterms:modified xsi:type="dcterms:W3CDTF">2019-04-01T12:37:00Z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G/TBT/N/KEN/853</vt:lpwstr>
  </property>
</Properties>
</file>