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6A22" w14:textId="77777777" w:rsidR="009239F7" w:rsidRPr="002F6A28" w:rsidRDefault="0031678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009A4AC" w14:textId="77777777" w:rsidR="009239F7" w:rsidRPr="002F6A28" w:rsidRDefault="00316787" w:rsidP="002F6A28">
      <w:pPr>
        <w:jc w:val="center"/>
      </w:pPr>
      <w:r w:rsidRPr="002F6A28">
        <w:t>The following notification is being circulated in accordance with Article 10.6</w:t>
      </w:r>
    </w:p>
    <w:p w14:paraId="7CFF19F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57957" w14:paraId="16001D8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935358" w14:textId="77777777" w:rsidR="00F85C99" w:rsidRPr="002F6A28" w:rsidRDefault="003167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BF14FAD" w14:textId="77777777" w:rsidR="00F85C99" w:rsidRPr="002F6A28" w:rsidRDefault="0031678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14:paraId="238A9197" w14:textId="77777777" w:rsidR="00F85C99" w:rsidRPr="002F6A28" w:rsidRDefault="0031678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57957" w14:paraId="0F4FE1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8BAED" w14:textId="77777777" w:rsidR="00F85C99" w:rsidRPr="002F6A28" w:rsidRDefault="003167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7E081" w14:textId="77777777" w:rsidR="00F85C99" w:rsidRPr="002F6A28" w:rsidRDefault="0031678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14:paraId="325C7680" w14:textId="77777777" w:rsidR="00F85C99" w:rsidRPr="002F6A28" w:rsidRDefault="0031678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03AEAD6" w14:textId="77777777" w:rsidR="00275D23" w:rsidRPr="002F6A28" w:rsidRDefault="00316787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>Tel: + (972) 74 750 2236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7"/>
          </w:p>
        </w:tc>
      </w:tr>
      <w:tr w:rsidR="00657957" w14:paraId="4F29D6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B73A0" w14:textId="77777777" w:rsidR="00F85C99" w:rsidRPr="002F6A28" w:rsidRDefault="003167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F7F77" w14:textId="77777777" w:rsidR="00F85C99" w:rsidRPr="0058336F" w:rsidRDefault="0031678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57957" w14:paraId="5E0672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4C5F0" w14:textId="77777777" w:rsidR="00F85C99" w:rsidRPr="002F6A28" w:rsidRDefault="003167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A4003" w14:textId="77777777" w:rsidR="00F85C99" w:rsidRPr="002F6A28" w:rsidRDefault="0031678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Hazardous waste; (ICS: 13.020, 13.030, 13.060, 13.080, 13.300)</w:t>
            </w:r>
            <w:bookmarkStart w:id="20" w:name="sps3a"/>
            <w:bookmarkEnd w:id="20"/>
          </w:p>
        </w:tc>
      </w:tr>
      <w:tr w:rsidR="00657957" w14:paraId="222135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3E502" w14:textId="77777777" w:rsidR="00F85C99" w:rsidRPr="002F6A28" w:rsidRDefault="0031678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561AE" w14:textId="77777777" w:rsidR="00F85C99" w:rsidRPr="002F6A28" w:rsidRDefault="0031678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Policy for Importing Hazardous waste (2 page(s), in Hebrew)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57957" w14:paraId="51E8AF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D31F5" w14:textId="77777777" w:rsidR="00F85C99" w:rsidRPr="002F6A28" w:rsidRDefault="003167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284CE" w14:textId="77777777" w:rsidR="00F85C99" w:rsidRPr="002F6A28" w:rsidRDefault="0031678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New draft policy announced by Israel's Ministry of Environmental Protection named "Policy for Importing Hazardous waste".</w:t>
            </w:r>
          </w:p>
          <w:p w14:paraId="377DB5F8" w14:textId="77777777" w:rsidR="00FE448B" w:rsidRPr="00C379C8" w:rsidRDefault="00316787" w:rsidP="002F6A28">
            <w:pPr>
              <w:spacing w:after="120"/>
            </w:pPr>
            <w:r w:rsidRPr="00C379C8">
              <w:t>The import of hazardous waste into Israel has been regulated already since 1994 by the provisions of "The Hazardous Materials Order (Import and Export of Hazardous Waste), 5744-1994". The regulations implement and ratify the principles of the Basel Convention and require a permit from the Commissioner for the export or import of hazardous waste, and thus effectively monitor the transboundary movements of hazardous waste and its disposal. </w:t>
            </w:r>
          </w:p>
          <w:p w14:paraId="6CBAAA7B" w14:textId="77777777" w:rsidR="00FE448B" w:rsidRPr="00C379C8" w:rsidRDefault="00316787" w:rsidP="002F6A28">
            <w:pPr>
              <w:spacing w:after="120"/>
            </w:pPr>
            <w:r w:rsidRPr="00C379C8">
              <w:t>The purpose of the notified policy is to outline the discretion of the Commissioner to grant an import permit for hazardous waste as follows:</w:t>
            </w:r>
          </w:p>
          <w:p w14:paraId="502B2426" w14:textId="77777777" w:rsidR="00FE448B" w:rsidRPr="00C379C8" w:rsidRDefault="00316787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Providing full detailed information about the type, assembly, and manner of treatment of the imported hazardous waste.</w:t>
            </w:r>
          </w:p>
          <w:p w14:paraId="22169C33" w14:textId="77777777" w:rsidR="00FE448B" w:rsidRPr="00C379C8" w:rsidRDefault="00316787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The treatment plant, that wishes to import waste, shall present all necessary permits for the treatment of hazardous waste, including a toxic permit under the Hazardous Materials Law.</w:t>
            </w:r>
          </w:p>
          <w:p w14:paraId="58731490" w14:textId="77777777" w:rsidR="00FE448B" w:rsidRPr="00C379C8" w:rsidRDefault="00316787" w:rsidP="00C455DC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Requires that the amount of hazardous waste, that remains or is created after recovery and transferred to landfill, shall not exceed 25% of the imported material. </w:t>
            </w:r>
          </w:p>
        </w:tc>
      </w:tr>
      <w:tr w:rsidR="00657957" w14:paraId="6E50E70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FD87E" w14:textId="77777777" w:rsidR="00F85C99" w:rsidRPr="002F6A28" w:rsidRDefault="003167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1546F" w14:textId="77777777" w:rsidR="00F85C99" w:rsidRPr="002F6A28" w:rsidRDefault="0031678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</w:t>
            </w:r>
            <w:bookmarkStart w:id="27" w:name="sps7f"/>
            <w:bookmarkEnd w:id="27"/>
          </w:p>
        </w:tc>
      </w:tr>
      <w:tr w:rsidR="00657957" w14:paraId="46298F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D2841" w14:textId="77777777" w:rsidR="00F85C99" w:rsidRPr="002F6A28" w:rsidRDefault="0031678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E1E8D" w14:textId="77777777" w:rsidR="00072B36" w:rsidRPr="002F6A28" w:rsidRDefault="0031678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FA6F85E" w14:textId="77777777" w:rsidR="00275D23" w:rsidRPr="002F6A28" w:rsidRDefault="00316787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>Hazardous Materials Law 5743-1993;</w:t>
            </w:r>
          </w:p>
          <w:p w14:paraId="1392EC44" w14:textId="77777777" w:rsidR="00275D23" w:rsidRPr="002F6A28" w:rsidRDefault="00316787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Hazardous Materials Order (Import and Export of Hazardous Waste), 5744-1994;</w:t>
            </w:r>
          </w:p>
          <w:p w14:paraId="067EB670" w14:textId="77777777" w:rsidR="00275D23" w:rsidRPr="002F6A28" w:rsidRDefault="00316787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Basel Convention.</w:t>
            </w:r>
          </w:p>
        </w:tc>
      </w:tr>
      <w:tr w:rsidR="00657957" w14:paraId="6A1FA6C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52085" w14:textId="77777777" w:rsidR="00EE3A11" w:rsidRPr="002F6A28" w:rsidRDefault="003167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D58B8" w14:textId="77777777" w:rsidR="00EE3A11" w:rsidRPr="002F6A28" w:rsidRDefault="0031678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7D8172D7" w14:textId="77777777" w:rsidR="00EE3A11" w:rsidRPr="002F6A28" w:rsidRDefault="0031678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657957" w14:paraId="4EDF55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EFAAF" w14:textId="77777777" w:rsidR="00F85C99" w:rsidRPr="002F6A28" w:rsidRDefault="0031678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40135" w14:textId="77777777" w:rsidR="00F85C99" w:rsidRPr="002F6A28" w:rsidRDefault="0031678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57957" w14:paraId="5BDB927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8D4649C" w14:textId="77777777" w:rsidR="00F85C99" w:rsidRPr="002F6A28" w:rsidRDefault="0031678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724A1C5" w14:textId="77777777" w:rsidR="00F85C99" w:rsidRPr="002F6A28" w:rsidRDefault="0031678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35EC807" w14:textId="77777777" w:rsidR="00C455DC" w:rsidRDefault="0031678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WTO-TBT Enquiry Point </w:t>
            </w:r>
          </w:p>
          <w:p w14:paraId="362C76A1" w14:textId="77777777" w:rsidR="00275D23" w:rsidRPr="002F6A28" w:rsidRDefault="00E27D23" w:rsidP="00B16145">
            <w:pPr>
              <w:keepNext/>
              <w:keepLines/>
              <w:spacing w:before="120" w:after="120"/>
              <w:jc w:val="left"/>
            </w:pPr>
            <w:hyperlink r:id="rId8" w:history="1">
              <w:r w:rsidR="00316787" w:rsidRPr="002F6A28">
                <w:rPr>
                  <w:color w:val="0000FF"/>
                  <w:u w:val="single"/>
                </w:rPr>
                <w:t>Yael.Friedgut@economy.gov.il</w:t>
              </w:r>
            </w:hyperlink>
            <w:r w:rsidR="00316787" w:rsidRPr="002F6A28">
              <w:t xml:space="preserve"> </w:t>
            </w:r>
          </w:p>
          <w:p w14:paraId="62CFE045" w14:textId="77777777" w:rsidR="00275D23" w:rsidRPr="002F6A28" w:rsidRDefault="00E27D23" w:rsidP="00B16145">
            <w:pPr>
              <w:keepNext/>
              <w:keepLines/>
              <w:spacing w:before="120" w:after="120"/>
            </w:pPr>
            <w:hyperlink r:id="rId9" w:history="1">
              <w:r w:rsidR="00316787" w:rsidRPr="002F6A28">
                <w:rPr>
                  <w:color w:val="0000FF"/>
                  <w:u w:val="single"/>
                </w:rPr>
                <w:t>https://members.wto.org/crnattachments/2021/TBT/ISR/21_4724_00_x.pdf</w:t>
              </w:r>
            </w:hyperlink>
            <w:bookmarkEnd w:id="40"/>
          </w:p>
        </w:tc>
      </w:tr>
    </w:tbl>
    <w:p w14:paraId="118F433E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7225" w14:textId="77777777" w:rsidR="00B15991" w:rsidRDefault="00316787">
      <w:r>
        <w:separator/>
      </w:r>
    </w:p>
  </w:endnote>
  <w:endnote w:type="continuationSeparator" w:id="0">
    <w:p w14:paraId="6DB13FD3" w14:textId="77777777" w:rsidR="00B15991" w:rsidRDefault="003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8368" w14:textId="77777777" w:rsidR="009239F7" w:rsidRPr="002F6A28" w:rsidRDefault="0031678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573E" w14:textId="77777777" w:rsidR="009239F7" w:rsidRPr="002F6A28" w:rsidRDefault="0031678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A9CB8" w14:textId="77777777" w:rsidR="00EE3A11" w:rsidRPr="002F6A28" w:rsidRDefault="0031678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34ABC" w14:textId="77777777" w:rsidR="00B15991" w:rsidRDefault="00316787">
      <w:r>
        <w:separator/>
      </w:r>
    </w:p>
  </w:footnote>
  <w:footnote w:type="continuationSeparator" w:id="0">
    <w:p w14:paraId="52149EDA" w14:textId="77777777" w:rsidR="00B15991" w:rsidRDefault="0031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DF9B" w14:textId="77777777" w:rsidR="009239F7" w:rsidRPr="002F6A28" w:rsidRDefault="0031678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5AAF72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D875B2" w14:textId="77777777" w:rsidR="009239F7" w:rsidRPr="002F6A28" w:rsidRDefault="0031678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28286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03E7" w14:textId="77777777" w:rsidR="009239F7" w:rsidRPr="002F6A28" w:rsidRDefault="0031678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ISR</w:t>
    </w:r>
    <w:proofErr w:type="spellEnd"/>
    <w:r w:rsidRPr="002F6A28">
      <w:t>/1214</w:t>
    </w:r>
    <w:bookmarkEnd w:id="41"/>
  </w:p>
  <w:p w14:paraId="2D8F85E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114968" w14:textId="77777777" w:rsidR="009239F7" w:rsidRPr="002F6A28" w:rsidRDefault="0031678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03A0E1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7957" w14:paraId="023C7BF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13FD1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E109A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57957" w14:paraId="3ECF282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6CE8A8" w14:textId="77777777" w:rsidR="00ED54E0" w:rsidRPr="009239F7" w:rsidRDefault="0031678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15C7CC" wp14:editId="0F9EB8F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12744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264FC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57957" w14:paraId="1EC4B27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438BF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5CBCD3" w14:textId="77777777" w:rsidR="009239F7" w:rsidRPr="002F6A28" w:rsidRDefault="0031678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ISR</w:t>
          </w:r>
          <w:proofErr w:type="spellEnd"/>
          <w:r w:rsidRPr="002F6A28">
            <w:rPr>
              <w:b/>
              <w:szCs w:val="16"/>
            </w:rPr>
            <w:t>/1214</w:t>
          </w:r>
          <w:bookmarkEnd w:id="43"/>
        </w:p>
      </w:tc>
    </w:tr>
    <w:tr w:rsidR="00657957" w14:paraId="6A8A013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FE269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1C2A28" w14:textId="4FE891B5" w:rsidR="00ED54E0" w:rsidRPr="009239F7" w:rsidRDefault="0031678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July 2021</w:t>
          </w:r>
        </w:p>
      </w:tc>
    </w:tr>
    <w:tr w:rsidR="00657957" w14:paraId="2F102BA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5CABA4" w14:textId="7B8C8F9E" w:rsidR="00ED54E0" w:rsidRPr="009239F7" w:rsidRDefault="0031678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E27D23">
            <w:rPr>
              <w:color w:val="FF0000"/>
              <w:szCs w:val="16"/>
            </w:rPr>
            <w:t>5626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318034" w14:textId="77777777" w:rsidR="00ED54E0" w:rsidRPr="009239F7" w:rsidRDefault="0031678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57957" w14:paraId="17BDDDE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665FB6" w14:textId="77777777" w:rsidR="00ED54E0" w:rsidRPr="009239F7" w:rsidRDefault="0031678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7280A3" w14:textId="77777777" w:rsidR="00ED54E0" w:rsidRPr="002F6A28" w:rsidRDefault="0031678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9F6EE5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5411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FA4A78" w:tentative="1">
      <w:start w:val="1"/>
      <w:numFmt w:val="lowerLetter"/>
      <w:lvlText w:val="%2."/>
      <w:lvlJc w:val="left"/>
      <w:pPr>
        <w:ind w:left="1080" w:hanging="360"/>
      </w:pPr>
    </w:lvl>
    <w:lvl w:ilvl="2" w:tplc="5B7AE51A" w:tentative="1">
      <w:start w:val="1"/>
      <w:numFmt w:val="lowerRoman"/>
      <w:lvlText w:val="%3."/>
      <w:lvlJc w:val="right"/>
      <w:pPr>
        <w:ind w:left="1800" w:hanging="180"/>
      </w:pPr>
    </w:lvl>
    <w:lvl w:ilvl="3" w:tplc="95127D8C" w:tentative="1">
      <w:start w:val="1"/>
      <w:numFmt w:val="decimal"/>
      <w:lvlText w:val="%4."/>
      <w:lvlJc w:val="left"/>
      <w:pPr>
        <w:ind w:left="2520" w:hanging="360"/>
      </w:pPr>
    </w:lvl>
    <w:lvl w:ilvl="4" w:tplc="EDAA57CE" w:tentative="1">
      <w:start w:val="1"/>
      <w:numFmt w:val="lowerLetter"/>
      <w:lvlText w:val="%5."/>
      <w:lvlJc w:val="left"/>
      <w:pPr>
        <w:ind w:left="3240" w:hanging="360"/>
      </w:pPr>
    </w:lvl>
    <w:lvl w:ilvl="5" w:tplc="E646BC9E" w:tentative="1">
      <w:start w:val="1"/>
      <w:numFmt w:val="lowerRoman"/>
      <w:lvlText w:val="%6."/>
      <w:lvlJc w:val="right"/>
      <w:pPr>
        <w:ind w:left="3960" w:hanging="180"/>
      </w:pPr>
    </w:lvl>
    <w:lvl w:ilvl="6" w:tplc="6C9AD722" w:tentative="1">
      <w:start w:val="1"/>
      <w:numFmt w:val="decimal"/>
      <w:lvlText w:val="%7."/>
      <w:lvlJc w:val="left"/>
      <w:pPr>
        <w:ind w:left="4680" w:hanging="360"/>
      </w:pPr>
    </w:lvl>
    <w:lvl w:ilvl="7" w:tplc="F1F4A532" w:tentative="1">
      <w:start w:val="1"/>
      <w:numFmt w:val="lowerLetter"/>
      <w:lvlText w:val="%8."/>
      <w:lvlJc w:val="left"/>
      <w:pPr>
        <w:ind w:left="5400" w:hanging="360"/>
      </w:pPr>
    </w:lvl>
    <w:lvl w:ilvl="8" w:tplc="ED6CCC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hybridMultilevel"/>
    <w:tmpl w:val="63D526BC"/>
    <w:lvl w:ilvl="0" w:tplc="89062B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10CB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8E95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92B6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76D0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045D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FE4D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A65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2854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5D23"/>
    <w:rsid w:val="002D21E3"/>
    <w:rsid w:val="002E174F"/>
    <w:rsid w:val="002F6A28"/>
    <w:rsid w:val="00303D9D"/>
    <w:rsid w:val="00304AAE"/>
    <w:rsid w:val="003124EC"/>
    <w:rsid w:val="00316787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57957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5991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55DC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27D2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DC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ISR/21_4724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2021-07-15T15:26:00Z</dcterms:created>
  <dcterms:modified xsi:type="dcterms:W3CDTF">2021-07-15T16:07:00Z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