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8A55" w14:textId="77777777" w:rsidR="009239F7" w:rsidRPr="002F6A28" w:rsidRDefault="0038490C" w:rsidP="00245153">
      <w:pPr>
        <w:pStyle w:val="Title"/>
        <w:spacing w:before="600" w:after="360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  <w:bookmarkStart w:id="0" w:name="_GoBack"/>
    </w:p>
    <w:bookmarkEnd w:id="0"/>
    <w:p w14:paraId="5B6ECAB3" w14:textId="77777777" w:rsidR="009239F7" w:rsidRPr="002F6A28" w:rsidRDefault="0038490C" w:rsidP="002F6A28">
      <w:pPr>
        <w:jc w:val="center"/>
      </w:pPr>
      <w:r w:rsidRPr="002F6A28">
        <w:t>The following notification is being circulated in accordance with Article 10.6</w:t>
      </w:r>
    </w:p>
    <w:p w14:paraId="44631D8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AB6A3C" w14:paraId="7E13A8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97192F9" w14:textId="77777777" w:rsidR="00F85C99" w:rsidRPr="002F6A28" w:rsidRDefault="003849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52031C1" w14:textId="77777777" w:rsidR="00F85C99" w:rsidRPr="002F6A28" w:rsidRDefault="0038490C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Israel</w:t>
            </w:r>
            <w:bookmarkEnd w:id="2"/>
            <w:r w:rsidRPr="002F6A28">
              <w:t xml:space="preserve"> </w:t>
            </w:r>
          </w:p>
          <w:p w14:paraId="3F215DAE" w14:textId="77777777" w:rsidR="00F85C99" w:rsidRPr="002F6A28" w:rsidRDefault="0038490C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AB6A3C" w14:paraId="163B94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AFA31" w14:textId="77777777" w:rsidR="00F85C99" w:rsidRPr="002F6A28" w:rsidRDefault="003849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CFA5A" w14:textId="77777777" w:rsidR="00F85C99" w:rsidRPr="002F6A28" w:rsidRDefault="0038490C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Israel WTO-TBT Enquiry Point</w:t>
            </w:r>
            <w:bookmarkEnd w:id="6"/>
          </w:p>
          <w:p w14:paraId="7CAD0C48" w14:textId="77777777" w:rsidR="00F85C99" w:rsidRPr="002F6A28" w:rsidRDefault="0038490C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</w:p>
          <w:p w14:paraId="15BD3233" w14:textId="77777777" w:rsidR="004E5DD7" w:rsidRPr="002F6A28" w:rsidRDefault="0038490C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 xml:space="preserve">Tel: + (972) 3 7347501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8"/>
          </w:p>
        </w:tc>
      </w:tr>
      <w:tr w:rsidR="00AB6A3C" w14:paraId="2E40E0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5D1B5" w14:textId="77777777" w:rsidR="00F85C99" w:rsidRPr="002F6A28" w:rsidRDefault="003849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AC553" w14:textId="77777777" w:rsidR="00F85C99" w:rsidRPr="0058336F" w:rsidRDefault="0038490C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AB6A3C" w14:paraId="169904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A2AEB" w14:textId="77777777" w:rsidR="00F85C99" w:rsidRPr="002F6A28" w:rsidRDefault="003849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D2247" w14:textId="77777777" w:rsidR="00F85C99" w:rsidRPr="002F6A28" w:rsidRDefault="0038490C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Aluminium </w:t>
            </w:r>
            <w:proofErr w:type="spellStart"/>
            <w:r w:rsidR="00EE3A11" w:rsidRPr="00C379C8">
              <w:t>sulfate</w:t>
            </w:r>
            <w:proofErr w:type="spellEnd"/>
            <w:r w:rsidR="00EE3A11" w:rsidRPr="00C379C8">
              <w:t xml:space="preserve"> for treatment of water intended for human consumption; HS: 283322; ICS:</w:t>
            </w:r>
            <w:r w:rsidR="005C4C26">
              <w:t> </w:t>
            </w:r>
            <w:r w:rsidR="00EE3A11" w:rsidRPr="00C379C8">
              <w:t>71.100.80</w:t>
            </w:r>
            <w:bookmarkStart w:id="21" w:name="sps3a"/>
            <w:bookmarkEnd w:id="21"/>
          </w:p>
        </w:tc>
      </w:tr>
      <w:tr w:rsidR="00AB6A3C" w14:paraId="31E105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7A5BF" w14:textId="77777777" w:rsidR="00F85C99" w:rsidRPr="002F6A28" w:rsidRDefault="0038490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E571E" w14:textId="77777777" w:rsidR="00F85C99" w:rsidRPr="002F6A28" w:rsidRDefault="0038490C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SI 5438 </w:t>
            </w:r>
            <w:r>
              <w:t>p</w:t>
            </w:r>
            <w:r w:rsidR="00EE3A11" w:rsidRPr="00C379C8">
              <w:t xml:space="preserve">art 9 - Chemicals used for treatment of water intended for human consumption: Aluminium </w:t>
            </w:r>
            <w:proofErr w:type="spellStart"/>
            <w:r w:rsidR="00EE3A11" w:rsidRPr="00C379C8">
              <w:t>sulfate</w:t>
            </w:r>
            <w:proofErr w:type="spellEnd"/>
            <w:r w:rsidR="00EE3A11" w:rsidRPr="00C379C8">
              <w:t xml:space="preserve"> (50 page(s), in English; 12 page(s), in Hebrew)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AB6A3C" w14:paraId="22D085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54C4C" w14:textId="77777777" w:rsidR="00F85C99" w:rsidRPr="002F6A28" w:rsidRDefault="003849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CBB08" w14:textId="77777777" w:rsidR="00F85C99" w:rsidRPr="002F6A28" w:rsidRDefault="0038490C" w:rsidP="005C4C26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Revision of the Mandatory Standard SI 5438 part 9, dealing with aluminium </w:t>
            </w:r>
            <w:proofErr w:type="spellStart"/>
            <w:r w:rsidR="00FE448B" w:rsidRPr="00C379C8">
              <w:t>sulfate</w:t>
            </w:r>
            <w:proofErr w:type="spellEnd"/>
            <w:r w:rsidR="00FE448B" w:rsidRPr="00C379C8">
              <w:t xml:space="preserve"> for treatment of water intended for human consumption. This draft standard revision adopts both the European Standard EN 878: March 2016 and the American Standard ANSI/AWWA B403-16, with a few changes and national deviations that appear in the standard's Hebrew section as follow:</w:t>
            </w:r>
          </w:p>
          <w:p w14:paraId="664FD6F4" w14:textId="77777777" w:rsidR="00FE448B" w:rsidRPr="00C379C8" w:rsidRDefault="0038490C" w:rsidP="005C4C26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Chapter A - National deviations to the European route of compliance:</w:t>
            </w:r>
          </w:p>
          <w:p w14:paraId="1FF63F90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Changes the standard's normative references (section 2);</w:t>
            </w:r>
          </w:p>
          <w:p w14:paraId="44F12BFD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Adds a note to Table 5 of section 4.3 dealing with a limit of impurities;</w:t>
            </w:r>
          </w:p>
          <w:p w14:paraId="733156FC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Deletes the column relating to Type 3 of Table 6 of section 4.4 dealing with chemical parameters;</w:t>
            </w:r>
          </w:p>
          <w:p w14:paraId="46E2E5BA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Adds new sub-sections 5.1.2.2.1 and 5.1.2.2.2 detailing the sampling from tank and tankers;</w:t>
            </w:r>
          </w:p>
          <w:p w14:paraId="0993E4DE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Adds alternative test methods to section 5.2 dealing with analysis;</w:t>
            </w:r>
          </w:p>
          <w:p w14:paraId="09BFD964" w14:textId="3F172F42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 xml:space="preserve">Adds a new requirement to comply with Israel Mandatory Standards SI 2302 parts 1 and 2 to section 6 dealing with </w:t>
            </w:r>
            <w:r w:rsidR="00E533B5" w:rsidRPr="00C379C8">
              <w:t>labelling</w:t>
            </w:r>
            <w:r w:rsidRPr="00C379C8">
              <w:t>, transportation and storage;</w:t>
            </w:r>
          </w:p>
          <w:p w14:paraId="20038269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lastRenderedPageBreak/>
              <w:t>Adds a new requirement to comply with Israel Standards SI 819 part to section 6.1 dealing with means of delivery;</w:t>
            </w:r>
          </w:p>
          <w:p w14:paraId="41AEA8A5" w14:textId="0B358A29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 xml:space="preserve">Deletes section 6.2 dealing with </w:t>
            </w:r>
            <w:r w:rsidR="00E533B5" w:rsidRPr="00C379C8">
              <w:t>labelling</w:t>
            </w:r>
            <w:r w:rsidRPr="00C379C8">
              <w:t xml:space="preserve"> in accordance with the EU legislation;</w:t>
            </w:r>
          </w:p>
          <w:p w14:paraId="6488AC1D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Replace section 6.4 dealing with marking;</w:t>
            </w:r>
          </w:p>
          <w:p w14:paraId="6A3FBD22" w14:textId="77777777" w:rsidR="00FE448B" w:rsidRPr="00C379C8" w:rsidRDefault="0038490C" w:rsidP="005C4C26">
            <w:pPr>
              <w:numPr>
                <w:ilvl w:val="1"/>
                <w:numId w:val="16"/>
              </w:numPr>
              <w:spacing w:before="120" w:after="120"/>
            </w:pPr>
            <w:r w:rsidRPr="00C379C8">
              <w:t>Amends Annex B.</w:t>
            </w:r>
          </w:p>
          <w:p w14:paraId="2A47B112" w14:textId="77777777" w:rsidR="00FE448B" w:rsidRPr="00C379C8" w:rsidRDefault="0038490C" w:rsidP="005C4C26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Chapter B - National deviations to the American route of compliance: </w:t>
            </w:r>
          </w:p>
          <w:p w14:paraId="1B60D2B6" w14:textId="77777777" w:rsidR="00FE448B" w:rsidRPr="00C379C8" w:rsidRDefault="0038490C" w:rsidP="005C4C26">
            <w:pPr>
              <w:numPr>
                <w:ilvl w:val="1"/>
                <w:numId w:val="17"/>
              </w:numPr>
              <w:spacing w:before="120" w:after="120"/>
            </w:pPr>
            <w:r w:rsidRPr="00C379C8">
              <w:t>Changes section 1.3 dealing application;</w:t>
            </w:r>
          </w:p>
          <w:p w14:paraId="6C805B6B" w14:textId="77777777" w:rsidR="00FE448B" w:rsidRPr="00C379C8" w:rsidRDefault="0038490C" w:rsidP="005C4C26">
            <w:pPr>
              <w:numPr>
                <w:ilvl w:val="1"/>
                <w:numId w:val="18"/>
              </w:numPr>
              <w:spacing w:before="120" w:after="120"/>
            </w:pPr>
            <w:r w:rsidRPr="00C379C8">
              <w:t>Changes the standard's normative references (section 2);</w:t>
            </w:r>
          </w:p>
          <w:p w14:paraId="134006C5" w14:textId="77777777" w:rsidR="00FE448B" w:rsidRPr="00C379C8" w:rsidRDefault="0038490C" w:rsidP="005C4C26">
            <w:pPr>
              <w:numPr>
                <w:ilvl w:val="1"/>
                <w:numId w:val="18"/>
              </w:numPr>
              <w:spacing w:before="120" w:after="120"/>
            </w:pPr>
            <w:r w:rsidRPr="00C379C8">
              <w:t>Deletes definition 10 (reclaimed water) and definition 13 (wastewater) of section 3 dealing with definition;</w:t>
            </w:r>
          </w:p>
          <w:p w14:paraId="1A506073" w14:textId="77777777" w:rsidR="00FE448B" w:rsidRPr="00C379C8" w:rsidRDefault="0038490C" w:rsidP="005C4C26">
            <w:pPr>
              <w:numPr>
                <w:ilvl w:val="1"/>
                <w:numId w:val="18"/>
              </w:numPr>
              <w:spacing w:before="120" w:after="120"/>
            </w:pPr>
            <w:r w:rsidRPr="00C379C8">
              <w:t>Changes section 4 dealing with requirements;</w:t>
            </w:r>
          </w:p>
          <w:p w14:paraId="1890EE0D" w14:textId="77777777" w:rsidR="00FE448B" w:rsidRPr="00C379C8" w:rsidRDefault="0038490C" w:rsidP="005C4C26">
            <w:pPr>
              <w:numPr>
                <w:ilvl w:val="1"/>
                <w:numId w:val="18"/>
              </w:numPr>
              <w:spacing w:before="120" w:after="120"/>
            </w:pPr>
            <w:r w:rsidRPr="00C379C8">
              <w:t>Changes the specific impurity limits appearing in sub-section 4.3.2;</w:t>
            </w:r>
          </w:p>
          <w:p w14:paraId="0B092D23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Changes the product specifications appearing in sub-section 4.3.3;</w:t>
            </w:r>
          </w:p>
          <w:p w14:paraId="7A1544F8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Changes section 5.2 dealing with test procedures;</w:t>
            </w:r>
          </w:p>
          <w:p w14:paraId="1D03D336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Changes the formula appearing in sub-section 5.5.9 dealing with calculations;</w:t>
            </w:r>
          </w:p>
          <w:p w14:paraId="36CA6E7F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Adds new sub-section 5.12 dealing with nickel content;</w:t>
            </w:r>
          </w:p>
          <w:p w14:paraId="0EFDDA9A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Changes the marking requirements appearing in section 6.1 dealing with marking;</w:t>
            </w:r>
          </w:p>
          <w:p w14:paraId="3BB7FEF7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Adds a new requirement to comply with Israel Standards SI 819 part to section 6.1 dealing with packaging and shipping;</w:t>
            </w:r>
          </w:p>
          <w:p w14:paraId="1CBD2C57" w14:textId="77777777" w:rsidR="00FE448B" w:rsidRPr="00C379C8" w:rsidRDefault="0038490C" w:rsidP="005C4C26">
            <w:pPr>
              <w:numPr>
                <w:ilvl w:val="1"/>
                <w:numId w:val="19"/>
              </w:numPr>
              <w:spacing w:before="120" w:after="120"/>
            </w:pPr>
            <w:r w:rsidRPr="00C379C8">
              <w:t>Adds new sub-section 6.2.6.4 and requires that the product will include SDS (Safety Data Sheet).</w:t>
            </w:r>
          </w:p>
          <w:p w14:paraId="205ABA95" w14:textId="77777777" w:rsidR="00FE448B" w:rsidRPr="00C379C8" w:rsidRDefault="0038490C" w:rsidP="005C4C26">
            <w:pPr>
              <w:spacing w:after="120"/>
            </w:pPr>
            <w:r w:rsidRPr="00C379C8">
              <w:t>All requirement of the new revised standard will be declared mandatory, except the following:</w:t>
            </w:r>
          </w:p>
          <w:p w14:paraId="53B4A9B7" w14:textId="77777777" w:rsidR="00FE448B" w:rsidRPr="00C379C8" w:rsidRDefault="0038490C" w:rsidP="005C4C26">
            <w:pPr>
              <w:numPr>
                <w:ilvl w:val="0"/>
                <w:numId w:val="20"/>
              </w:numPr>
              <w:spacing w:before="120" w:after="120"/>
            </w:pPr>
            <w:r w:rsidRPr="00C379C8">
              <w:t xml:space="preserve">The marking requirements for "iron-free" and "low-iron" and for "marking of </w:t>
            </w:r>
            <w:proofErr w:type="spellStart"/>
            <w:r w:rsidRPr="00C379C8">
              <w:t>Aluminum</w:t>
            </w:r>
            <w:proofErr w:type="spellEnd"/>
            <w:r w:rsidRPr="00C379C8">
              <w:t xml:space="preserve"> concentration marking requirement (by weight)" appearing in section 6.4 of the European Standard route of compliance;</w:t>
            </w:r>
          </w:p>
          <w:p w14:paraId="54DFA52D" w14:textId="77777777" w:rsidR="00FE448B" w:rsidRPr="00C379C8" w:rsidRDefault="0038490C" w:rsidP="005C4C26">
            <w:pPr>
              <w:numPr>
                <w:ilvl w:val="0"/>
                <w:numId w:val="21"/>
              </w:numPr>
              <w:spacing w:before="120" w:after="120"/>
            </w:pPr>
            <w:r w:rsidRPr="00C379C8">
              <w:t xml:space="preserve">The requirement for "marking of </w:t>
            </w:r>
            <w:proofErr w:type="spellStart"/>
            <w:r w:rsidRPr="00C379C8">
              <w:t>Aluminum</w:t>
            </w:r>
            <w:proofErr w:type="spellEnd"/>
            <w:r w:rsidRPr="00C379C8">
              <w:t xml:space="preserve"> concentration marking requirement (by weight)" appearing in section 6.1 of the American route of compliance.</w:t>
            </w:r>
          </w:p>
        </w:tc>
      </w:tr>
      <w:tr w:rsidR="00AB6A3C" w14:paraId="0C982E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DAF39" w14:textId="77777777" w:rsidR="00F85C99" w:rsidRPr="002F6A28" w:rsidRDefault="003849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7F393" w14:textId="77777777" w:rsidR="00F85C99" w:rsidRPr="002F6A28" w:rsidRDefault="0038490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</w:t>
            </w:r>
            <w:bookmarkStart w:id="28" w:name="sps7f"/>
            <w:bookmarkEnd w:id="28"/>
          </w:p>
        </w:tc>
      </w:tr>
      <w:tr w:rsidR="00AB6A3C" w14:paraId="443CE2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85997" w14:textId="77777777" w:rsidR="00F85C99" w:rsidRPr="002F6A28" w:rsidRDefault="0038490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1D697" w14:textId="77777777" w:rsidR="00072B36" w:rsidRPr="002F6A28" w:rsidRDefault="0038490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6222571" w14:textId="77777777" w:rsidR="004E5DD7" w:rsidRPr="002F6A28" w:rsidRDefault="0038490C" w:rsidP="009E75ED">
            <w:pPr>
              <w:numPr>
                <w:ilvl w:val="0"/>
                <w:numId w:val="22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5438 part 9 (April 2019);</w:t>
            </w:r>
          </w:p>
          <w:p w14:paraId="37031793" w14:textId="77777777" w:rsidR="004E5DD7" w:rsidRPr="002F6A28" w:rsidRDefault="0038490C" w:rsidP="009E75ED">
            <w:pPr>
              <w:numPr>
                <w:ilvl w:val="0"/>
                <w:numId w:val="22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European Standard EN 878: March 2016;</w:t>
            </w:r>
          </w:p>
          <w:p w14:paraId="0CAC2CBC" w14:textId="77777777" w:rsidR="004E5DD7" w:rsidRPr="002F6A28" w:rsidRDefault="0038490C" w:rsidP="009E75ED">
            <w:pPr>
              <w:numPr>
                <w:ilvl w:val="0"/>
                <w:numId w:val="22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American Standard ANSI/AWWA B403-16.</w:t>
            </w:r>
          </w:p>
        </w:tc>
      </w:tr>
      <w:tr w:rsidR="00AB6A3C" w14:paraId="3A8408A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C002F" w14:textId="77777777" w:rsidR="00EE3A11" w:rsidRPr="002F6A28" w:rsidRDefault="003849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FFED8" w14:textId="77777777" w:rsidR="00EE3A11" w:rsidRPr="002F6A28" w:rsidRDefault="0038490C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5FE04A02" w14:textId="77777777" w:rsidR="00EE3A11" w:rsidRPr="002F6A28" w:rsidRDefault="0038490C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Generally, 60 days after publication in Israel Official Gazette, Section of Government Notices</w:t>
            </w:r>
            <w:bookmarkEnd w:id="35"/>
          </w:p>
        </w:tc>
      </w:tr>
      <w:tr w:rsidR="00AB6A3C" w14:paraId="0041FE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C5437" w14:textId="77777777" w:rsidR="00F85C99" w:rsidRPr="002F6A28" w:rsidRDefault="0038490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7BD9C" w14:textId="77777777" w:rsidR="00F85C99" w:rsidRPr="002F6A28" w:rsidRDefault="0038490C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AB6A3C" w14:paraId="4165C30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ED83B2F" w14:textId="77777777" w:rsidR="00F85C99" w:rsidRPr="002F6A28" w:rsidRDefault="0038490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86375EF" w14:textId="77777777" w:rsidR="00F85C99" w:rsidRPr="002F6A28" w:rsidRDefault="0038490C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2AB01D6E" w14:textId="77777777" w:rsidR="004E5DD7" w:rsidRPr="002F6A28" w:rsidRDefault="00245153" w:rsidP="00B16145">
            <w:pPr>
              <w:keepNext/>
              <w:keepLines/>
              <w:spacing w:before="120" w:after="120"/>
            </w:pPr>
            <w:hyperlink r:id="rId8" w:history="1">
              <w:r w:rsidR="0038490C" w:rsidRPr="002F6A28">
                <w:rPr>
                  <w:color w:val="0000FF"/>
                  <w:u w:val="single"/>
                </w:rPr>
                <w:t>https://members.wto.org/crnattachments/2020/TBT/ISR/20_3348_00_x.pdf</w:t>
              </w:r>
            </w:hyperlink>
            <w:bookmarkEnd w:id="41"/>
          </w:p>
        </w:tc>
      </w:tr>
    </w:tbl>
    <w:p w14:paraId="77F6C01F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3815F" w14:textId="77777777" w:rsidR="009F475C" w:rsidRDefault="0038490C">
      <w:r>
        <w:separator/>
      </w:r>
    </w:p>
  </w:endnote>
  <w:endnote w:type="continuationSeparator" w:id="0">
    <w:p w14:paraId="0D895A2C" w14:textId="77777777" w:rsidR="009F475C" w:rsidRDefault="0038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7969" w14:textId="77777777" w:rsidR="009239F7" w:rsidRPr="002F6A28" w:rsidRDefault="0038490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B876" w14:textId="77777777" w:rsidR="009239F7" w:rsidRPr="002F6A28" w:rsidRDefault="0038490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DC59" w14:textId="77777777" w:rsidR="00EE3A11" w:rsidRPr="002F6A28" w:rsidRDefault="0038490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55F65" w14:textId="77777777" w:rsidR="009F475C" w:rsidRDefault="0038490C">
      <w:r>
        <w:separator/>
      </w:r>
    </w:p>
  </w:footnote>
  <w:footnote w:type="continuationSeparator" w:id="0">
    <w:p w14:paraId="5E3150E7" w14:textId="77777777" w:rsidR="009F475C" w:rsidRDefault="0038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A07C" w14:textId="77777777" w:rsidR="009239F7" w:rsidRPr="002F6A28" w:rsidRDefault="003849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8FAA0D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FA4D2D" w14:textId="77777777" w:rsidR="009239F7" w:rsidRPr="002F6A28" w:rsidRDefault="003849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6F79B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83C8" w14:textId="77777777" w:rsidR="009239F7" w:rsidRPr="002F6A28" w:rsidRDefault="003849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G/TBT/N/ISR/1146</w:t>
    </w:r>
    <w:bookmarkEnd w:id="42"/>
  </w:p>
  <w:p w14:paraId="660A821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2CD464" w14:textId="77777777" w:rsidR="009239F7" w:rsidRPr="002F6A28" w:rsidRDefault="0038490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DCD0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6A3C" w14:paraId="4C7FD5A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5486C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2DC0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AB6A3C" w14:paraId="40ECB0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354595" w14:textId="77777777" w:rsidR="00ED54E0" w:rsidRPr="009239F7" w:rsidRDefault="00E533B5" w:rsidP="00B801E9">
          <w:pPr>
            <w:jc w:val="left"/>
          </w:pPr>
          <w:r>
            <w:rPr>
              <w:lang w:eastAsia="en-GB"/>
            </w:rPr>
            <w:pict w14:anchorId="28DDA7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BB490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B6A3C" w14:paraId="0BB93A9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3982F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61319D" w14:textId="77777777" w:rsidR="009239F7" w:rsidRPr="002F6A28" w:rsidRDefault="0038490C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G/TBT/N/ISR/1146</w:t>
          </w:r>
          <w:bookmarkEnd w:id="44"/>
        </w:p>
      </w:tc>
    </w:tr>
    <w:tr w:rsidR="00AB6A3C" w14:paraId="3CEF637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A660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A432A" w14:textId="77777777" w:rsidR="00ED54E0" w:rsidRPr="009239F7" w:rsidRDefault="0038490C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25 May 2020</w:t>
          </w:r>
        </w:p>
      </w:tc>
    </w:tr>
    <w:tr w:rsidR="00AB6A3C" w14:paraId="57561D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C6E74D" w14:textId="32D04AFD" w:rsidR="00ED54E0" w:rsidRPr="009239F7" w:rsidRDefault="0038490C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</w:t>
          </w:r>
          <w:r w:rsidR="0075340D">
            <w:rPr>
              <w:color w:val="FF0000"/>
              <w:szCs w:val="16"/>
            </w:rPr>
            <w:t>3748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A45B79" w14:textId="77777777" w:rsidR="00ED54E0" w:rsidRPr="009239F7" w:rsidRDefault="0038490C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AB6A3C" w14:paraId="6B5C83D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B1E5B6" w14:textId="77777777" w:rsidR="00ED54E0" w:rsidRPr="009239F7" w:rsidRDefault="0038490C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C637EE" w14:textId="77777777" w:rsidR="00ED54E0" w:rsidRPr="002F6A28" w:rsidRDefault="0038490C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73BD6C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7011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E8B9CE" w:tentative="1">
      <w:start w:val="1"/>
      <w:numFmt w:val="lowerLetter"/>
      <w:lvlText w:val="%2."/>
      <w:lvlJc w:val="left"/>
      <w:pPr>
        <w:ind w:left="1080" w:hanging="360"/>
      </w:pPr>
    </w:lvl>
    <w:lvl w:ilvl="2" w:tplc="82E4F89C" w:tentative="1">
      <w:start w:val="1"/>
      <w:numFmt w:val="lowerRoman"/>
      <w:lvlText w:val="%3."/>
      <w:lvlJc w:val="right"/>
      <w:pPr>
        <w:ind w:left="1800" w:hanging="180"/>
      </w:pPr>
    </w:lvl>
    <w:lvl w:ilvl="3" w:tplc="34FE553C" w:tentative="1">
      <w:start w:val="1"/>
      <w:numFmt w:val="decimal"/>
      <w:lvlText w:val="%4."/>
      <w:lvlJc w:val="left"/>
      <w:pPr>
        <w:ind w:left="2520" w:hanging="360"/>
      </w:pPr>
    </w:lvl>
    <w:lvl w:ilvl="4" w:tplc="3F0C2700" w:tentative="1">
      <w:start w:val="1"/>
      <w:numFmt w:val="lowerLetter"/>
      <w:lvlText w:val="%5."/>
      <w:lvlJc w:val="left"/>
      <w:pPr>
        <w:ind w:left="3240" w:hanging="360"/>
      </w:pPr>
    </w:lvl>
    <w:lvl w:ilvl="5" w:tplc="AF40BEB6" w:tentative="1">
      <w:start w:val="1"/>
      <w:numFmt w:val="lowerRoman"/>
      <w:lvlText w:val="%6."/>
      <w:lvlJc w:val="right"/>
      <w:pPr>
        <w:ind w:left="3960" w:hanging="180"/>
      </w:pPr>
    </w:lvl>
    <w:lvl w:ilvl="6" w:tplc="073E35BE" w:tentative="1">
      <w:start w:val="1"/>
      <w:numFmt w:val="decimal"/>
      <w:lvlText w:val="%7."/>
      <w:lvlJc w:val="left"/>
      <w:pPr>
        <w:ind w:left="4680" w:hanging="360"/>
      </w:pPr>
    </w:lvl>
    <w:lvl w:ilvl="7" w:tplc="04B281AC" w:tentative="1">
      <w:start w:val="1"/>
      <w:numFmt w:val="lowerLetter"/>
      <w:lvlText w:val="%8."/>
      <w:lvlJc w:val="left"/>
      <w:pPr>
        <w:ind w:left="5400" w:hanging="360"/>
      </w:pPr>
    </w:lvl>
    <w:lvl w:ilvl="8" w:tplc="2488E5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3B0A6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hybridMultilevel"/>
    <w:tmpl w:val="F920FD9C"/>
    <w:lvl w:ilvl="0" w:tplc="E22088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42ADF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4C0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6D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7A2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A4D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4ED8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34D6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DE0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42E84480"/>
    <w:lvl w:ilvl="0" w:tplc="EBFE1F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9A680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DB6E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C6C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BEA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96F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68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102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27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D526BE"/>
    <w:multiLevelType w:val="hybridMultilevel"/>
    <w:tmpl w:val="35D81DEC"/>
    <w:lvl w:ilvl="0" w:tplc="0FB6F6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1F09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D88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587A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567F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AE9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AB1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60A7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46E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D526BF"/>
    <w:multiLevelType w:val="hybridMultilevel"/>
    <w:tmpl w:val="63D526BF"/>
    <w:lvl w:ilvl="0" w:tplc="D8BC2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69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641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3AEF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3E9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6A5B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B05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BEF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F86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D526C0"/>
    <w:multiLevelType w:val="hybridMultilevel"/>
    <w:tmpl w:val="63D526C0"/>
    <w:lvl w:ilvl="0" w:tplc="604A7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4C1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AAC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F209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244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E89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68D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A680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144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3D526C1"/>
    <w:multiLevelType w:val="hybridMultilevel"/>
    <w:tmpl w:val="63D526C1"/>
    <w:lvl w:ilvl="0" w:tplc="565EB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762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D49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C03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4D4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1E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84F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BEA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EA0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52871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45153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8490C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E5DD7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42A0"/>
    <w:rsid w:val="005B04B9"/>
    <w:rsid w:val="005B68C7"/>
    <w:rsid w:val="005B7054"/>
    <w:rsid w:val="005C4C26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340D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9F475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6A3C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33B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C4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TBT/ISR/20_334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AAA78952.dotm</Template>
  <TotalTime>86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67</cp:revision>
  <dcterms:created xsi:type="dcterms:W3CDTF">2017-07-03T10:42:00Z</dcterms:created>
  <dcterms:modified xsi:type="dcterms:W3CDTF">2020-05-25T10:07:00Z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c01b6893-fd4b-4c0a-95c6-9fb7626c3a01</vt:lpwstr>
  </property>
  <property fmtid="{D5CDD505-2E9C-101B-9397-08002B2CF9AE}" pid="4" name="WTOCLASSIFICATION">
    <vt:lpwstr>WTO OFFICIAL</vt:lpwstr>
  </property>
</Properties>
</file>