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952812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952812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0665F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Israel</w:t>
            </w:r>
            <w:bookmarkEnd w:id="1"/>
            <w:r w:rsidRPr="002F6A28">
              <w:t xml:space="preserve"> </w:t>
            </w:r>
          </w:p>
          <w:p w:rsidR="00F85C99" w:rsidRPr="002F6A28" w:rsidRDefault="0095281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0665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Israel WTO-TBT Enquiry Point</w:t>
            </w:r>
            <w:bookmarkEnd w:id="5"/>
          </w:p>
          <w:p w:rsidR="00F85C99" w:rsidRPr="002F6A28" w:rsidRDefault="0095281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:rsidR="00322535" w:rsidRPr="002F6A28" w:rsidRDefault="00952812" w:rsidP="00AA646C">
            <w:pPr>
              <w:spacing w:after="120"/>
              <w:jc w:val="left"/>
            </w:pPr>
            <w:r w:rsidRPr="002F6A28">
              <w:t xml:space="preserve">Israel WTO-TBT Enquiry Point </w:t>
            </w:r>
            <w:r w:rsidRPr="002F6A28">
              <w:br/>
              <w:t>Ministry of Economy and Industry</w:t>
            </w:r>
            <w:r w:rsidRPr="002F6A28">
              <w:br/>
              <w:t>Tel: + (972) 3 7347501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F0665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95281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0665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Lithium systems of secondary cells and batteries containing alkaline; (ICS: 29.220.30)</w:t>
            </w:r>
            <w:bookmarkStart w:id="20" w:name="sps3a"/>
            <w:bookmarkEnd w:id="20"/>
          </w:p>
        </w:tc>
      </w:tr>
      <w:tr w:rsidR="00F0665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SI 62133 part</w:t>
            </w:r>
            <w:r>
              <w:t> </w:t>
            </w:r>
            <w:r w:rsidR="00EE3A11" w:rsidRPr="00C379C8">
              <w:t>2 - Secondary cells and batteries containing alkaline or other non-acid electrolytes - Safety requirements for portable sealed secondary cells, and for batteries made from them, for use in portable applications: Lithium systems (50 page(s), in English; 3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0665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requirements of the existing standard, SI 62133 part 2, dealing with lithium systems of secondary cells and batteries containing alkaline, shall be declared mandatory. This declaration is </w:t>
            </w:r>
            <w:proofErr w:type="spellStart"/>
            <w:r w:rsidR="00FE448B" w:rsidRPr="00C379C8">
              <w:t>inline</w:t>
            </w:r>
            <w:proofErr w:type="spellEnd"/>
            <w:r w:rsidR="00FE448B" w:rsidRPr="00C379C8">
              <w:t xml:space="preserve"> with the mandatory standardization objective to protect human safety.</w:t>
            </w:r>
          </w:p>
          <w:p w:rsidR="00FE448B" w:rsidRPr="00C379C8" w:rsidRDefault="00952812" w:rsidP="002F6A28">
            <w:pPr>
              <w:spacing w:after="120"/>
            </w:pPr>
            <w:r w:rsidRPr="00C379C8">
              <w:t>This standard adopts the International Standard IEC 62133-2 - Edition 1.0: 2017-02 without any national deviations and will enter into force 6 months after publication in Israel Official Gazette.</w:t>
            </w:r>
          </w:p>
        </w:tc>
      </w:tr>
      <w:tr w:rsidR="00F0665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F0665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952812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322535" w:rsidRPr="002F6A28" w:rsidRDefault="0095281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Israel Standard SI 62133 part 2 (February 2019);</w:t>
            </w:r>
          </w:p>
          <w:p w:rsidR="00322535" w:rsidRPr="002F6A28" w:rsidRDefault="0095281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International Standard IEC 62133-2 - Edition 1.0: 2017-02.</w:t>
            </w:r>
          </w:p>
        </w:tc>
      </w:tr>
      <w:tr w:rsidR="00F0665F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9528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952812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:rsidR="00EE3A11" w:rsidRPr="002F6A28" w:rsidRDefault="00952812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6 months after publication in Israel Official Gazette, Section of Government Notices</w:t>
            </w:r>
            <w:bookmarkEnd w:id="34"/>
          </w:p>
        </w:tc>
      </w:tr>
      <w:tr w:rsidR="00F0665F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952812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F0665F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95281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952812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322535" w:rsidRPr="002F6A28" w:rsidRDefault="0062761C" w:rsidP="00B16145">
            <w:pPr>
              <w:keepNext/>
              <w:keepLines/>
              <w:spacing w:before="120" w:after="120"/>
            </w:pPr>
            <w:hyperlink r:id="rId8" w:history="1">
              <w:r w:rsidR="00952812" w:rsidRPr="002F6A28">
                <w:rPr>
                  <w:color w:val="0000FF"/>
                  <w:u w:val="single"/>
                </w:rPr>
                <w:t>https://members.wto.org/crnattachments/2019/TBT/ISR/19_6734_00_x.pdf</w:t>
              </w:r>
            </w:hyperlink>
            <w:bookmarkEnd w:id="40"/>
          </w:p>
        </w:tc>
      </w:tr>
    </w:tbl>
    <w:p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146" w:rsidRDefault="00952812">
      <w:r>
        <w:separator/>
      </w:r>
    </w:p>
  </w:endnote>
  <w:endnote w:type="continuationSeparator" w:id="0">
    <w:p w:rsidR="00204146" w:rsidRDefault="0095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952812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952812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952812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146" w:rsidRDefault="00952812">
      <w:r>
        <w:separator/>
      </w:r>
    </w:p>
  </w:footnote>
  <w:footnote w:type="continuationSeparator" w:id="0">
    <w:p w:rsidR="00204146" w:rsidRDefault="0095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95281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95281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95281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</w:t>
    </w:r>
    <w:proofErr w:type="spellStart"/>
    <w:r w:rsidRPr="002F6A28">
      <w:t>ISR</w:t>
    </w:r>
    <w:proofErr w:type="spellEnd"/>
    <w:r w:rsidRPr="002F6A28">
      <w:t>/1093</w:t>
    </w:r>
    <w:bookmarkEnd w:id="41"/>
  </w:p>
  <w:p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95281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665F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0665F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95281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33596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0665F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RDefault="00952812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ISR</w:t>
          </w:r>
          <w:proofErr w:type="spellEnd"/>
          <w:r w:rsidRPr="002F6A28">
            <w:rPr>
              <w:b/>
              <w:szCs w:val="16"/>
            </w:rPr>
            <w:t>/1093</w:t>
          </w:r>
          <w:bookmarkEnd w:id="43"/>
        </w:p>
      </w:tc>
    </w:tr>
    <w:tr w:rsidR="00F0665F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952812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28 November 2019</w:t>
          </w:r>
        </w:p>
      </w:tc>
    </w:tr>
    <w:tr w:rsidR="00F0665F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952812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19-</w:t>
          </w:r>
          <w:r w:rsidR="0062761C">
            <w:rPr>
              <w:color w:val="FF0000"/>
              <w:szCs w:val="16"/>
            </w:rPr>
            <w:t>8166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952812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F0665F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952812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952812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11A63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DE3E80" w:tentative="1">
      <w:start w:val="1"/>
      <w:numFmt w:val="lowerLetter"/>
      <w:lvlText w:val="%2."/>
      <w:lvlJc w:val="left"/>
      <w:pPr>
        <w:ind w:left="1080" w:hanging="360"/>
      </w:pPr>
    </w:lvl>
    <w:lvl w:ilvl="2" w:tplc="2BE08AEE" w:tentative="1">
      <w:start w:val="1"/>
      <w:numFmt w:val="lowerRoman"/>
      <w:lvlText w:val="%3."/>
      <w:lvlJc w:val="right"/>
      <w:pPr>
        <w:ind w:left="1800" w:hanging="180"/>
      </w:pPr>
    </w:lvl>
    <w:lvl w:ilvl="3" w:tplc="73DC471C" w:tentative="1">
      <w:start w:val="1"/>
      <w:numFmt w:val="decimal"/>
      <w:lvlText w:val="%4."/>
      <w:lvlJc w:val="left"/>
      <w:pPr>
        <w:ind w:left="2520" w:hanging="360"/>
      </w:pPr>
    </w:lvl>
    <w:lvl w:ilvl="4" w:tplc="5A2E1610" w:tentative="1">
      <w:start w:val="1"/>
      <w:numFmt w:val="lowerLetter"/>
      <w:lvlText w:val="%5."/>
      <w:lvlJc w:val="left"/>
      <w:pPr>
        <w:ind w:left="3240" w:hanging="360"/>
      </w:pPr>
    </w:lvl>
    <w:lvl w:ilvl="5" w:tplc="B7524914" w:tentative="1">
      <w:start w:val="1"/>
      <w:numFmt w:val="lowerRoman"/>
      <w:lvlText w:val="%6."/>
      <w:lvlJc w:val="right"/>
      <w:pPr>
        <w:ind w:left="3960" w:hanging="180"/>
      </w:pPr>
    </w:lvl>
    <w:lvl w:ilvl="6" w:tplc="FA3C5F44" w:tentative="1">
      <w:start w:val="1"/>
      <w:numFmt w:val="decimal"/>
      <w:lvlText w:val="%7."/>
      <w:lvlJc w:val="left"/>
      <w:pPr>
        <w:ind w:left="4680" w:hanging="360"/>
      </w:pPr>
    </w:lvl>
    <w:lvl w:ilvl="7" w:tplc="33E4243C" w:tentative="1">
      <w:start w:val="1"/>
      <w:numFmt w:val="lowerLetter"/>
      <w:lvlText w:val="%8."/>
      <w:lvlJc w:val="left"/>
      <w:pPr>
        <w:ind w:left="5400" w:hanging="360"/>
      </w:pPr>
    </w:lvl>
    <w:lvl w:ilvl="8" w:tplc="793203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91AD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D283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5225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74B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80C0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AC9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3495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3822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DC87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146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22535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2761C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964E3"/>
    <w:rsid w:val="008B223A"/>
    <w:rsid w:val="008B4A10"/>
    <w:rsid w:val="008B4FB8"/>
    <w:rsid w:val="008C1339"/>
    <w:rsid w:val="008E372C"/>
    <w:rsid w:val="008E67DC"/>
    <w:rsid w:val="009239F7"/>
    <w:rsid w:val="00952812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0665F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918B7"/>
  <w15:docId w15:val="{4FE40C17-4039-4EF6-B866-6CEEB30E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TBT/ISR/19_6734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Greenleaves Navarro, Jane</dc:creator>
  <dc:description>LDIMD - DTU</dc:description>
  <cp:lastModifiedBy>Laverriere, Chantal</cp:lastModifiedBy>
  <cp:revision>4</cp:revision>
  <dcterms:created xsi:type="dcterms:W3CDTF">2019-11-28T08:36:00Z</dcterms:created>
  <dcterms:modified xsi:type="dcterms:W3CDTF">2019-11-28T10:01:00Z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