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432F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432F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435C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:rsidR="00F85C99" w:rsidRPr="002F6A28" w:rsidRDefault="009432F0" w:rsidP="00312315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435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:rsidR="00F85C99" w:rsidRPr="002F6A28" w:rsidRDefault="009432F0" w:rsidP="00312315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D435CE" w:rsidRPr="002F6A28" w:rsidRDefault="009432F0" w:rsidP="00312315">
            <w:r w:rsidRPr="002F6A28">
              <w:t xml:space="preserve">Israel WTO-TBT Enquiry Point </w:t>
            </w:r>
          </w:p>
          <w:p w:rsidR="00D435CE" w:rsidRPr="002F6A28" w:rsidRDefault="009432F0" w:rsidP="00312315">
            <w:r w:rsidRPr="002F6A28">
              <w:t>Ministry of Economy and Industry</w:t>
            </w:r>
          </w:p>
          <w:p w:rsidR="00D435CE" w:rsidRPr="002F6A28" w:rsidRDefault="009432F0" w:rsidP="00312315">
            <w:r w:rsidRPr="002F6A28">
              <w:t xml:space="preserve">Tel: + (972) 3 7347501 </w:t>
            </w:r>
          </w:p>
          <w:p w:rsidR="00B23A69" w:rsidRPr="002F6A28" w:rsidRDefault="009432F0" w:rsidP="00312315">
            <w:pPr>
              <w:spacing w:after="120"/>
            </w:pPr>
            <w:r w:rsidRPr="002F6A28">
              <w:t xml:space="preserve">E-mail: </w:t>
            </w:r>
            <w:hyperlink r:id="rId7" w:history="1">
              <w:r w:rsidR="00B23A69" w:rsidRPr="00D75351">
                <w:rPr>
                  <w:rStyle w:val="Lienhypertexte"/>
                </w:rPr>
                <w:t>Yael.Friedgut@economy.gov.il</w:t>
              </w:r>
            </w:hyperlink>
          </w:p>
        </w:tc>
      </w:tr>
      <w:tr w:rsidR="00D435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432F0" w:rsidP="00312315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B23A69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C"/>
            <w:r w:rsidRPr="002F6A28">
              <w:rPr>
                <w:b/>
              </w:rPr>
              <w:t>5.6.2</w:t>
            </w:r>
            <w:bookmarkEnd w:id="10"/>
            <w:r w:rsidRPr="002F6A28">
              <w:rPr>
                <w:b/>
              </w:rPr>
              <w:t xml:space="preserve"> [</w:t>
            </w:r>
            <w:r w:rsidR="00B23A69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1" w:name="X_TBT_Reg_3D"/>
            <w:r w:rsidRPr="002F6A28">
              <w:rPr>
                <w:b/>
              </w:rPr>
              <w:t>5.7.1</w:t>
            </w:r>
            <w:bookmarkEnd w:id="11"/>
            <w:r w:rsidRPr="002F6A28">
              <w:rPr>
                <w:b/>
              </w:rPr>
              <w:t xml:space="preserve"> [</w:t>
            </w:r>
            <w:r w:rsidR="00B23A69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E"/>
            <w:r w:rsidRPr="002F6A28">
              <w:rPr>
                <w:b/>
              </w:rPr>
              <w:t>other</w:t>
            </w:r>
            <w:bookmarkEnd w:id="12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3" w:name="tbt3e"/>
            <w:bookmarkEnd w:id="13"/>
          </w:p>
        </w:tc>
      </w:tr>
      <w:tr w:rsidR="00D435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</w:pPr>
            <w:bookmarkStart w:id="14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5" w:name="sps3a"/>
            <w:r w:rsidRPr="002F6A28">
              <w:rPr>
                <w:bCs/>
              </w:rPr>
              <w:t>Portable extinguishers; (HS: 842410); (ICS: 13.220.10)</w:t>
            </w:r>
            <w:bookmarkEnd w:id="15"/>
          </w:p>
        </w:tc>
      </w:tr>
      <w:tr w:rsidR="00D435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</w:pPr>
            <w:bookmarkStart w:id="16" w:name="X_TBT_Reg_5A"/>
            <w:r w:rsidRPr="002F6A28">
              <w:rPr>
                <w:b/>
              </w:rPr>
              <w:t>Title, number of pages and language(s) of the notified document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5a"/>
            <w:r w:rsidRPr="002F6A28">
              <w:t>SI 318 - Carbon dioxide portable extinguishers (10 page(s), in Hebrew)</w:t>
            </w:r>
            <w:bookmarkStart w:id="18" w:name="sps5c"/>
            <w:bookmarkStart w:id="19" w:name="sps5b"/>
            <w:bookmarkEnd w:id="17"/>
            <w:bookmarkEnd w:id="18"/>
            <w:bookmarkEnd w:id="19"/>
          </w:p>
        </w:tc>
      </w:tr>
      <w:tr w:rsidR="00D435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  <w:rPr>
                <w:b/>
              </w:rPr>
            </w:pPr>
            <w:bookmarkStart w:id="20" w:name="X_TBT_Reg_6A"/>
            <w:r w:rsidRPr="002F6A28">
              <w:rPr>
                <w:b/>
              </w:rPr>
              <w:t>Description of content</w:t>
            </w:r>
            <w:bookmarkEnd w:id="20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>Revision of the Mandatory Standard SI 318, dealing with carbon dioxide portable fire extinguishers. The major differences between the old version and this new revised draft standard are as follow:</w:t>
            </w:r>
          </w:p>
          <w:p w:rsidR="00D435CE" w:rsidRPr="002F6A28" w:rsidRDefault="009432F0" w:rsidP="00312315">
            <w:pPr>
              <w:numPr>
                <w:ilvl w:val="0"/>
                <w:numId w:val="17"/>
              </w:numPr>
              <w:spacing w:before="120" w:after="120"/>
            </w:pPr>
            <w:r w:rsidRPr="002F6A28">
              <w:rPr>
                <w:lang w:eastAsia="en-GB"/>
              </w:rPr>
              <w:t>Changes the values from N to Kg;</w:t>
            </w:r>
          </w:p>
          <w:p w:rsidR="00D435CE" w:rsidRPr="002F6A28" w:rsidRDefault="009432F0" w:rsidP="00312315">
            <w:pPr>
              <w:numPr>
                <w:ilvl w:val="0"/>
                <w:numId w:val="17"/>
              </w:numPr>
              <w:spacing w:before="120" w:after="120"/>
            </w:pPr>
            <w:r w:rsidRPr="002F6A28">
              <w:rPr>
                <w:lang w:eastAsia="en-GB"/>
              </w:rPr>
              <w:t>Deletes part of paragraph 102 dealing with operation;</w:t>
            </w:r>
          </w:p>
          <w:p w:rsidR="00D435CE" w:rsidRPr="002F6A28" w:rsidRDefault="009432F0" w:rsidP="00312315">
            <w:pPr>
              <w:numPr>
                <w:ilvl w:val="0"/>
                <w:numId w:val="17"/>
              </w:numPr>
              <w:spacing w:before="120" w:after="120"/>
            </w:pPr>
            <w:r w:rsidRPr="002F6A28">
              <w:rPr>
                <w:lang w:eastAsia="en-GB"/>
              </w:rPr>
              <w:t>Deletes paragraph 105 dealing with individual test and paragraph 209 dealing with handles and rests;</w:t>
            </w:r>
          </w:p>
          <w:p w:rsidR="00D435CE" w:rsidRPr="002F6A28" w:rsidRDefault="009432F0" w:rsidP="00312315">
            <w:pPr>
              <w:numPr>
                <w:ilvl w:val="0"/>
                <w:numId w:val="17"/>
              </w:numPr>
              <w:spacing w:before="120" w:after="120"/>
            </w:pPr>
            <w:r w:rsidRPr="002F6A28">
              <w:rPr>
                <w:lang w:eastAsia="en-GB"/>
              </w:rPr>
              <w:t>Amends the paragraphs dealing with steel and aluminium containers and adds references to the Israeli standards that applies to these containers;</w:t>
            </w:r>
          </w:p>
          <w:p w:rsidR="00D435CE" w:rsidRPr="002F6A28" w:rsidRDefault="009432F0" w:rsidP="00312315">
            <w:pPr>
              <w:numPr>
                <w:ilvl w:val="0"/>
                <w:numId w:val="17"/>
              </w:numPr>
              <w:spacing w:before="120" w:after="120"/>
            </w:pPr>
            <w:r w:rsidRPr="002F6A28">
              <w:rPr>
                <w:lang w:eastAsia="en-GB"/>
              </w:rPr>
              <w:t xml:space="preserve">Changes the paragraph dealing with the container's test </w:t>
            </w:r>
            <w:r w:rsidRPr="002F6A28">
              <w:t>and adds reference to the Israeli standard that applies;</w:t>
            </w:r>
          </w:p>
          <w:p w:rsidR="00D435CE" w:rsidRPr="002F6A28" w:rsidRDefault="009432F0" w:rsidP="00312315">
            <w:pPr>
              <w:numPr>
                <w:ilvl w:val="0"/>
                <w:numId w:val="17"/>
              </w:numPr>
              <w:spacing w:before="120" w:after="120"/>
            </w:pPr>
            <w:r w:rsidRPr="002F6A28">
              <w:rPr>
                <w:lang w:eastAsia="en-GB"/>
              </w:rPr>
              <w:t>Adds new requirements and sub-paragraph to the chapter dealing with the extinguisher's structure: Refill, temperature range, safety catch and seal.</w:t>
            </w:r>
          </w:p>
          <w:p w:rsidR="00D435CE" w:rsidRPr="002F6A28" w:rsidRDefault="009432F0" w:rsidP="00312315">
            <w:pPr>
              <w:numPr>
                <w:ilvl w:val="0"/>
                <w:numId w:val="17"/>
              </w:numPr>
              <w:spacing w:before="120" w:after="120"/>
            </w:pPr>
            <w:r w:rsidRPr="002F6A28">
              <w:rPr>
                <w:lang w:eastAsia="en-GB"/>
              </w:rPr>
              <w:t>Adds new test requirements for leakage over a period of a year;</w:t>
            </w:r>
          </w:p>
          <w:p w:rsidR="00D435CE" w:rsidRPr="002F6A28" w:rsidRDefault="009432F0" w:rsidP="00312315">
            <w:pPr>
              <w:numPr>
                <w:ilvl w:val="0"/>
                <w:numId w:val="17"/>
              </w:numPr>
              <w:spacing w:before="120" w:after="120"/>
            </w:pPr>
            <w:r w:rsidRPr="002F6A28">
              <w:rPr>
                <w:lang w:eastAsia="en-GB"/>
              </w:rPr>
              <w:t xml:space="preserve">Adds a table with levels of </w:t>
            </w:r>
            <w:r w:rsidRPr="002F6A28">
              <w:t>extinguishment to the paragraph dealing with extinguisher's capability.</w:t>
            </w:r>
          </w:p>
        </w:tc>
      </w:tr>
      <w:tr w:rsidR="00D435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  <w:rPr>
                <w:b/>
              </w:rPr>
            </w:pPr>
            <w:bookmarkStart w:id="21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7f"/>
            <w:r w:rsidRPr="002F6A28">
              <w:t>Protection of human health or safety</w:t>
            </w:r>
            <w:bookmarkEnd w:id="22"/>
          </w:p>
        </w:tc>
      </w:tr>
      <w:tr w:rsidR="00D435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432F0" w:rsidP="00312315">
            <w:pPr>
              <w:spacing w:before="120" w:after="120"/>
            </w:pPr>
            <w:bookmarkStart w:id="23" w:name="X_TBT_Reg_8A"/>
            <w:r w:rsidRPr="002F6A28">
              <w:rPr>
                <w:b/>
              </w:rPr>
              <w:t>Relevant documents</w:t>
            </w:r>
            <w:bookmarkEnd w:id="23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9432F0" w:rsidRDefault="009432F0" w:rsidP="0031231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bookmarkStart w:id="24" w:name="sps9a"/>
            <w:r w:rsidRPr="00312315">
              <w:rPr>
                <w:bCs/>
                <w:lang w:eastAsia="en-GB"/>
              </w:rPr>
              <w:t>Israel Mandatory Standard SI 318 (December 1963)</w:t>
            </w:r>
          </w:p>
          <w:p w:rsidR="009432F0" w:rsidRDefault="009432F0" w:rsidP="0031231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312315">
              <w:rPr>
                <w:bCs/>
                <w:lang w:eastAsia="en-GB"/>
              </w:rPr>
              <w:t>Amendment 1 (August</w:t>
            </w:r>
            <w:r>
              <w:rPr>
                <w:bCs/>
                <w:lang w:eastAsia="en-GB"/>
              </w:rPr>
              <w:t> </w:t>
            </w:r>
            <w:r w:rsidRPr="00312315">
              <w:rPr>
                <w:bCs/>
                <w:lang w:eastAsia="en-GB"/>
              </w:rPr>
              <w:t>1973)</w:t>
            </w:r>
          </w:p>
          <w:p w:rsidR="009432F0" w:rsidRDefault="009432F0" w:rsidP="0031231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312315">
              <w:rPr>
                <w:bCs/>
                <w:lang w:eastAsia="en-GB"/>
              </w:rPr>
              <w:t>Amendment 2 (November 1978)</w:t>
            </w:r>
          </w:p>
          <w:p w:rsidR="009432F0" w:rsidRDefault="009432F0" w:rsidP="0031231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312315">
              <w:rPr>
                <w:bCs/>
                <w:lang w:eastAsia="en-GB"/>
              </w:rPr>
              <w:t>Amendment 3 (December</w:t>
            </w:r>
            <w:r>
              <w:rPr>
                <w:bCs/>
                <w:lang w:eastAsia="en-GB"/>
              </w:rPr>
              <w:t> </w:t>
            </w:r>
            <w:r w:rsidRPr="00312315">
              <w:rPr>
                <w:bCs/>
                <w:lang w:eastAsia="en-GB"/>
              </w:rPr>
              <w:t>1983)</w:t>
            </w:r>
          </w:p>
          <w:p w:rsidR="009432F0" w:rsidRDefault="009432F0" w:rsidP="0031231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312315">
              <w:rPr>
                <w:bCs/>
                <w:lang w:eastAsia="en-GB"/>
              </w:rPr>
              <w:t xml:space="preserve">Amendment 4 (May 1998) </w:t>
            </w:r>
          </w:p>
          <w:p w:rsidR="00D435CE" w:rsidRPr="002F6A28" w:rsidRDefault="009432F0" w:rsidP="0031231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312315">
              <w:rPr>
                <w:bCs/>
                <w:lang w:eastAsia="en-GB"/>
              </w:rPr>
              <w:t>and Amendment 5 (July 2006)</w:t>
            </w:r>
            <w:bookmarkStart w:id="25" w:name="sps9b"/>
            <w:bookmarkEnd w:id="24"/>
            <w:bookmarkEnd w:id="25"/>
          </w:p>
        </w:tc>
      </w:tr>
      <w:tr w:rsidR="00D435C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432F0" w:rsidP="003123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432F0" w:rsidP="00312315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To be determined</w:t>
            </w:r>
            <w:bookmarkEnd w:id="28"/>
          </w:p>
          <w:p w:rsidR="00EE3A11" w:rsidRPr="002F6A28" w:rsidRDefault="009432F0" w:rsidP="00312315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bookmarkStart w:id="31" w:name="sps11b"/>
            <w:bookmarkEnd w:id="30"/>
            <w:proofErr w:type="gramStart"/>
            <w:r w:rsidRPr="002F6A28">
              <w:t>Generally</w:t>
            </w:r>
            <w:proofErr w:type="gramEnd"/>
            <w:r w:rsidRPr="002F6A28">
              <w:t xml:space="preserve"> 60 days after publication in Israel Official Gazette, Section of Government Notices</w:t>
            </w:r>
            <w:bookmarkEnd w:id="31"/>
          </w:p>
        </w:tc>
      </w:tr>
      <w:tr w:rsidR="00D435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432F0" w:rsidP="00312315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60 days from notification</w:t>
            </w:r>
            <w:bookmarkEnd w:id="33"/>
          </w:p>
        </w:tc>
      </w:tr>
      <w:tr w:rsidR="00D435C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432F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432F0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:rsidR="00D435CE" w:rsidRPr="002F6A28" w:rsidRDefault="00D750F3" w:rsidP="00B16145">
            <w:pPr>
              <w:keepNext/>
              <w:keepLines/>
              <w:spacing w:before="120" w:after="120"/>
            </w:pPr>
            <w:hyperlink r:id="rId8" w:history="1">
              <w:r w:rsidR="009432F0" w:rsidRPr="002F6A28">
                <w:rPr>
                  <w:color w:val="0000FF"/>
                  <w:u w:val="single"/>
                </w:rPr>
                <w:t>https://members.wto.org/crnattachments/2019/TBT/ISR/19_2033_00_x.pdf</w:t>
              </w:r>
            </w:hyperlink>
            <w:bookmarkEnd w:id="37"/>
          </w:p>
        </w:tc>
      </w:tr>
    </w:tbl>
    <w:p w:rsidR="00EE3A11" w:rsidRPr="002F6A28" w:rsidRDefault="00EE3A11" w:rsidP="002F6A28"/>
    <w:sectPr w:rsidR="00EE3A11" w:rsidRPr="002F6A28" w:rsidSect="002B7A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C1C" w:rsidRDefault="009432F0">
      <w:r>
        <w:separator/>
      </w:r>
    </w:p>
  </w:endnote>
  <w:endnote w:type="continuationSeparator" w:id="0">
    <w:p w:rsidR="00B26C1C" w:rsidRDefault="0094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B7ABE" w:rsidRDefault="002B7ABE" w:rsidP="002B7AB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B7ABE" w:rsidRDefault="002B7ABE" w:rsidP="002B7AB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432F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C1C" w:rsidRDefault="009432F0">
      <w:r>
        <w:separator/>
      </w:r>
    </w:p>
  </w:footnote>
  <w:footnote w:type="continuationSeparator" w:id="0">
    <w:p w:rsidR="00B26C1C" w:rsidRDefault="0094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ABE" w:rsidRPr="002B7ABE" w:rsidRDefault="002B7ABE" w:rsidP="002B7AB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7ABE">
      <w:t>G/TBT/N/</w:t>
    </w:r>
    <w:proofErr w:type="spellStart"/>
    <w:r w:rsidRPr="002B7ABE">
      <w:t>ISR</w:t>
    </w:r>
    <w:proofErr w:type="spellEnd"/>
    <w:r w:rsidRPr="002B7ABE">
      <w:t>/1037</w:t>
    </w:r>
  </w:p>
  <w:p w:rsidR="002B7ABE" w:rsidRPr="002B7ABE" w:rsidRDefault="002B7ABE" w:rsidP="002B7AB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7ABE" w:rsidRPr="002B7ABE" w:rsidRDefault="002B7ABE" w:rsidP="002B7AB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7ABE">
      <w:t xml:space="preserve">- </w:t>
    </w:r>
    <w:r w:rsidRPr="002B7ABE">
      <w:fldChar w:fldCharType="begin"/>
    </w:r>
    <w:r w:rsidRPr="002B7ABE">
      <w:instrText xml:space="preserve"> PAGE </w:instrText>
    </w:r>
    <w:r w:rsidRPr="002B7ABE">
      <w:fldChar w:fldCharType="separate"/>
    </w:r>
    <w:r w:rsidRPr="002B7ABE">
      <w:rPr>
        <w:noProof/>
      </w:rPr>
      <w:t>2</w:t>
    </w:r>
    <w:r w:rsidRPr="002B7ABE">
      <w:fldChar w:fldCharType="end"/>
    </w:r>
    <w:r w:rsidRPr="002B7ABE">
      <w:t xml:space="preserve"> -</w:t>
    </w:r>
  </w:p>
  <w:p w:rsidR="009239F7" w:rsidRPr="002B7ABE" w:rsidRDefault="009239F7" w:rsidP="002B7AB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ABE" w:rsidRPr="002B7ABE" w:rsidRDefault="002B7ABE" w:rsidP="002B7AB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7ABE">
      <w:t>G/TBT/N/</w:t>
    </w:r>
    <w:proofErr w:type="spellStart"/>
    <w:r w:rsidRPr="002B7ABE">
      <w:t>ISR</w:t>
    </w:r>
    <w:proofErr w:type="spellEnd"/>
    <w:r w:rsidRPr="002B7ABE">
      <w:t>/1037</w:t>
    </w:r>
  </w:p>
  <w:p w:rsidR="002B7ABE" w:rsidRPr="002B7ABE" w:rsidRDefault="002B7ABE" w:rsidP="002B7AB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7ABE" w:rsidRPr="002B7ABE" w:rsidRDefault="002B7ABE" w:rsidP="002B7AB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7ABE">
      <w:t xml:space="preserve">- </w:t>
    </w:r>
    <w:r w:rsidRPr="002B7ABE">
      <w:fldChar w:fldCharType="begin"/>
    </w:r>
    <w:r w:rsidRPr="002B7ABE">
      <w:instrText xml:space="preserve"> PAGE </w:instrText>
    </w:r>
    <w:r w:rsidRPr="002B7ABE">
      <w:fldChar w:fldCharType="separate"/>
    </w:r>
    <w:r w:rsidRPr="002B7ABE">
      <w:rPr>
        <w:noProof/>
      </w:rPr>
      <w:t>2</w:t>
    </w:r>
    <w:r w:rsidRPr="002B7ABE">
      <w:fldChar w:fldCharType="end"/>
    </w:r>
    <w:r w:rsidRPr="002B7ABE">
      <w:t xml:space="preserve"> -</w:t>
    </w:r>
  </w:p>
  <w:p w:rsidR="009239F7" w:rsidRPr="002B7ABE" w:rsidRDefault="009239F7" w:rsidP="002B7AB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35C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B7AB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D435C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B7AB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435C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B7ABE" w:rsidRDefault="002B7ABE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ISR</w:t>
          </w:r>
          <w:proofErr w:type="spellEnd"/>
          <w:r>
            <w:rPr>
              <w:b/>
              <w:szCs w:val="16"/>
            </w:rPr>
            <w:t>/1037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435C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750F3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10 April 2019</w:t>
          </w:r>
          <w:bookmarkStart w:id="42" w:name="_GoBack"/>
          <w:bookmarkEnd w:id="42"/>
        </w:p>
      </w:tc>
    </w:tr>
    <w:tr w:rsidR="00D435C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432F0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 w:rsidR="00D750F3">
            <w:rPr>
              <w:color w:val="FF0000"/>
              <w:szCs w:val="16"/>
            </w:rPr>
            <w:t>19-2305</w:t>
          </w:r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432F0" w:rsidP="00B801E9">
          <w:pPr>
            <w:jc w:val="right"/>
            <w:rPr>
              <w:szCs w:val="16"/>
            </w:rPr>
          </w:pPr>
          <w:bookmarkStart w:id="45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5"/>
        </w:p>
      </w:tc>
    </w:tr>
    <w:tr w:rsidR="00D435C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B7ABE" w:rsidP="00B801E9">
          <w:pPr>
            <w:jc w:val="left"/>
            <w:rPr>
              <w:sz w:val="14"/>
              <w:szCs w:val="16"/>
            </w:rPr>
          </w:pPr>
          <w:bookmarkStart w:id="46" w:name="bmkCommittee"/>
          <w:r>
            <w:rPr>
              <w:b/>
            </w:rPr>
            <w:t>Committee on Technical Barriers to Trade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B7ABE" w:rsidP="00B801E9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English</w:t>
          </w:r>
          <w:bookmarkEnd w:id="47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4453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48DDDA" w:tentative="1">
      <w:start w:val="1"/>
      <w:numFmt w:val="lowerLetter"/>
      <w:lvlText w:val="%2."/>
      <w:lvlJc w:val="left"/>
      <w:pPr>
        <w:ind w:left="1080" w:hanging="360"/>
      </w:pPr>
    </w:lvl>
    <w:lvl w:ilvl="2" w:tplc="B31CCFBA" w:tentative="1">
      <w:start w:val="1"/>
      <w:numFmt w:val="lowerRoman"/>
      <w:lvlText w:val="%3."/>
      <w:lvlJc w:val="right"/>
      <w:pPr>
        <w:ind w:left="1800" w:hanging="180"/>
      </w:pPr>
    </w:lvl>
    <w:lvl w:ilvl="3" w:tplc="9A3EDD3A" w:tentative="1">
      <w:start w:val="1"/>
      <w:numFmt w:val="decimal"/>
      <w:lvlText w:val="%4."/>
      <w:lvlJc w:val="left"/>
      <w:pPr>
        <w:ind w:left="2520" w:hanging="360"/>
      </w:pPr>
    </w:lvl>
    <w:lvl w:ilvl="4" w:tplc="A12480EC" w:tentative="1">
      <w:start w:val="1"/>
      <w:numFmt w:val="lowerLetter"/>
      <w:lvlText w:val="%5."/>
      <w:lvlJc w:val="left"/>
      <w:pPr>
        <w:ind w:left="3240" w:hanging="360"/>
      </w:pPr>
    </w:lvl>
    <w:lvl w:ilvl="5" w:tplc="86222C34" w:tentative="1">
      <w:start w:val="1"/>
      <w:numFmt w:val="lowerRoman"/>
      <w:lvlText w:val="%6."/>
      <w:lvlJc w:val="right"/>
      <w:pPr>
        <w:ind w:left="3960" w:hanging="180"/>
      </w:pPr>
    </w:lvl>
    <w:lvl w:ilvl="6" w:tplc="3E5E00F4" w:tentative="1">
      <w:start w:val="1"/>
      <w:numFmt w:val="decimal"/>
      <w:lvlText w:val="%7."/>
      <w:lvlJc w:val="left"/>
      <w:pPr>
        <w:ind w:left="4680" w:hanging="360"/>
      </w:pPr>
    </w:lvl>
    <w:lvl w:ilvl="7" w:tplc="04C2F3A2" w:tentative="1">
      <w:start w:val="1"/>
      <w:numFmt w:val="lowerLetter"/>
      <w:lvlText w:val="%8."/>
      <w:lvlJc w:val="left"/>
      <w:pPr>
        <w:ind w:left="5400" w:hanging="360"/>
      </w:pPr>
    </w:lvl>
    <w:lvl w:ilvl="8" w:tplc="3ABE19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54E68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4AE3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3AF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2C4C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54B9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AC4D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B8D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64C6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E8AF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F2BE0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FA61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604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BED5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225D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A611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4A0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265D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6677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B7ABE"/>
    <w:rsid w:val="002D21E3"/>
    <w:rsid w:val="002E174F"/>
    <w:rsid w:val="002F6A28"/>
    <w:rsid w:val="00303D9D"/>
    <w:rsid w:val="00304AAE"/>
    <w:rsid w:val="00312315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4A21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432F0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23A69"/>
    <w:rsid w:val="00B26C1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35CE"/>
    <w:rsid w:val="00D52A9D"/>
    <w:rsid w:val="00D55AAD"/>
    <w:rsid w:val="00D70F5B"/>
    <w:rsid w:val="00D747AE"/>
    <w:rsid w:val="00D750F3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DB0863"/>
  <w15:docId w15:val="{AE6147B1-4189-46F5-BEAA-F56AED1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B23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ISR/19_2033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7</cp:revision>
  <dcterms:created xsi:type="dcterms:W3CDTF">2019-04-09T11:56:00Z</dcterms:created>
  <dcterms:modified xsi:type="dcterms:W3CDTF">2019-04-10T09:51:00Z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G/TBT/N/ISR/1037</vt:lpwstr>
  </property>
</Properties>
</file>