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677C" w14:textId="77777777" w:rsidR="009239F7" w:rsidRPr="002F6A28" w:rsidRDefault="006A2DA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627C7E7" w14:textId="77777777" w:rsidR="009239F7" w:rsidRPr="002F6A28" w:rsidRDefault="006A2DAC" w:rsidP="002F6A28">
      <w:pPr>
        <w:jc w:val="center"/>
      </w:pPr>
      <w:r w:rsidRPr="002F6A28">
        <w:t>The following notification is being circulated in accordance with Article 10.6</w:t>
      </w:r>
    </w:p>
    <w:p w14:paraId="1F2CCA2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F4347A" w14:paraId="0FAEA69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454F159" w14:textId="77777777" w:rsidR="00F85C99" w:rsidRPr="002F6A28" w:rsidRDefault="006A2DA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9BBA45F" w14:textId="77777777" w:rsidR="00F85C99" w:rsidRPr="002F6A28" w:rsidRDefault="006A2DA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Indonesia</w:t>
            </w:r>
            <w:bookmarkEnd w:id="1"/>
            <w:r w:rsidRPr="002F6A28">
              <w:t xml:space="preserve"> </w:t>
            </w:r>
          </w:p>
          <w:p w14:paraId="4E9D9D76" w14:textId="77777777" w:rsidR="00F85C99" w:rsidRPr="002F6A28" w:rsidRDefault="006A2DA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4347A" w14:paraId="7A7590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A9A58" w14:textId="77777777" w:rsidR="00F85C99" w:rsidRPr="002F6A28" w:rsidRDefault="006A2DA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FFC7B" w14:textId="77777777" w:rsidR="00F85C99" w:rsidRPr="002F6A28" w:rsidRDefault="006A2DA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Center for Plant Variety and Agricultural Licensing Protection, Ministry of Agriculture</w:t>
            </w:r>
            <w:bookmarkEnd w:id="5"/>
          </w:p>
          <w:p w14:paraId="32C5E4B5" w14:textId="77777777" w:rsidR="00F85C99" w:rsidRPr="002F6A28" w:rsidRDefault="006A2DA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CE3CE7D" w14:textId="77777777" w:rsidR="00642A5B" w:rsidRPr="002F6A28" w:rsidRDefault="006A2DAC" w:rsidP="00AA646C">
            <w:pPr>
              <w:spacing w:after="120"/>
              <w:jc w:val="left"/>
            </w:pPr>
            <w:r w:rsidRPr="002F6A28">
              <w:t>Center for Plant Variety and Agricultural Licensing Protection</w:t>
            </w:r>
            <w:r w:rsidRPr="002F6A28">
              <w:br/>
              <w:t>Ministry of Agriculture</w:t>
            </w:r>
            <w:r w:rsidRPr="002F6A28">
              <w:br/>
              <w:t>Head Office of Ministry of Agriculture</w:t>
            </w:r>
            <w:r w:rsidRPr="002F6A28">
              <w:br/>
              <w:t>Building B, 5th floor</w:t>
            </w:r>
            <w:r w:rsidRPr="002F6A28">
              <w:br/>
              <w:t>Jl. Harsono RM. No.3, Ragunan- Jakarta 12550</w:t>
            </w:r>
            <w:r w:rsidRPr="002F6A28">
              <w:br/>
              <w:t>Phone: +62 21-78836171</w:t>
            </w:r>
            <w:r w:rsidRPr="002F6A28">
              <w:br/>
              <w:t>Fax: -</w:t>
            </w:r>
            <w:r w:rsidRPr="002F6A28">
              <w:tab/>
            </w:r>
            <w:r w:rsidRPr="002F6A28">
              <w:br/>
              <w:t xml:space="preserve">Website: </w:t>
            </w:r>
            <w:hyperlink r:id="rId7" w:history="1">
              <w:r w:rsidRPr="002F6A28">
                <w:rPr>
                  <w:color w:val="0000FF"/>
                  <w:u w:val="single"/>
                </w:rPr>
                <w:t>http://pvtpp.setjen.pertanian.go.id</w:t>
              </w:r>
            </w:hyperlink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pvt@pertanian.go.id</w:t>
              </w:r>
            </w:hyperlink>
            <w:r w:rsidRPr="002F6A28">
              <w:br/>
            </w:r>
            <w:r w:rsidRPr="002F6A28">
              <w:br/>
              <w:t>Directorate of Implementation System for Standards and Conformity Assessment</w:t>
            </w:r>
            <w:r w:rsidRPr="002F6A28">
              <w:br/>
              <w:t xml:space="preserve">National Standardization Agency, Indonesia (BSN) </w:t>
            </w:r>
            <w:r w:rsidRPr="002F6A28">
              <w:br/>
              <w:t xml:space="preserve">BPPT I Building, 12th floor </w:t>
            </w:r>
            <w:r w:rsidRPr="002F6A28">
              <w:br/>
              <w:t xml:space="preserve">Jl. M.H. Thamrin No.8 Jakarta 10340 – Indonesia </w:t>
            </w:r>
            <w:r w:rsidRPr="002F6A28">
              <w:br/>
              <w:t xml:space="preserve">Telephone : +(62-21) 3927434 ext. 127 </w:t>
            </w:r>
            <w:r w:rsidRPr="002F6A28">
              <w:br/>
              <w:t xml:space="preserve">Facsimile: +(62-21) 3927528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tbt.indonesia@gmail.com</w:t>
              </w:r>
            </w:hyperlink>
            <w:r w:rsidRPr="002F6A28">
              <w:t xml:space="preserve">; </w:t>
            </w:r>
            <w:hyperlink r:id="rId10" w:history="1">
              <w:r w:rsidRPr="002F6A28">
                <w:rPr>
                  <w:color w:val="0000FF"/>
                  <w:u w:val="single"/>
                </w:rPr>
                <w:t>tbt.indonesia@bsn.go.id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http://www.bsn.go.id</w:t>
              </w:r>
            </w:hyperlink>
            <w:r w:rsidRPr="002F6A28">
              <w:t xml:space="preserve"> </w:t>
            </w:r>
            <w:bookmarkEnd w:id="7"/>
          </w:p>
        </w:tc>
      </w:tr>
      <w:tr w:rsidR="00F4347A" w14:paraId="19211BE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F280F" w14:textId="77777777" w:rsidR="00F85C99" w:rsidRPr="002F6A28" w:rsidRDefault="006A2DA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081D2" w14:textId="77777777" w:rsidR="00F85C99" w:rsidRPr="0058336F" w:rsidRDefault="006A2DA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4347A" w14:paraId="553B6B2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717E6" w14:textId="77777777" w:rsidR="00F85C99" w:rsidRPr="002F6A28" w:rsidRDefault="006A2DA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C9CE3" w14:textId="77777777" w:rsidR="00F85C99" w:rsidRPr="002F6A28" w:rsidRDefault="006A2DA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3101.00.10; 3101.00.92 and 3101.00.99; Animal or vegetable fertilizers, whether or not mixed together or chemically treated; fertilizers produced by the mixing or chemical treatment of animal or vegetable products (HS 3101)</w:t>
            </w:r>
            <w:bookmarkStart w:id="20" w:name="sps3a"/>
            <w:bookmarkEnd w:id="20"/>
          </w:p>
        </w:tc>
      </w:tr>
      <w:tr w:rsidR="00F4347A" w14:paraId="4EAB8A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9D9CE" w14:textId="77777777" w:rsidR="00F85C99" w:rsidRPr="002F6A28" w:rsidRDefault="006A2DA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5A79A" w14:textId="77777777" w:rsidR="00F85C99" w:rsidRPr="002F6A28" w:rsidRDefault="006A2DA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Minister of Agriculture Regulation No. 01 of 2019 on Registration of Organic Fertilizers, biofertilizers, and Soil Enhancer (44 page(s), in Indonesian)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4347A" w14:paraId="3176C9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7A0E1" w14:textId="77777777" w:rsidR="00F85C99" w:rsidRPr="002F6A28" w:rsidRDefault="006A2DAC" w:rsidP="002F32A6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38E23" w14:textId="77777777" w:rsidR="00F85C99" w:rsidRPr="002F6A28" w:rsidRDefault="006A2DAC" w:rsidP="002F32A6">
            <w:pPr>
              <w:keepNext/>
              <w:keepLines/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regulation requires organic fertilizers, biofertilizers and soil enhancers, either produced domestically or imported, to be registered after completing the following assessment: </w:t>
            </w:r>
          </w:p>
          <w:p w14:paraId="5FD0A99B" w14:textId="77777777" w:rsidR="00FE448B" w:rsidRPr="00C379C8" w:rsidRDefault="006A2DAC" w:rsidP="002F32A6">
            <w:pPr>
              <w:keepNext/>
              <w:keepLines/>
              <w:spacing w:after="120"/>
            </w:pPr>
            <w:r w:rsidRPr="00C379C8">
              <w:t>A. Quality testing based on the requirements stated in:</w:t>
            </w:r>
          </w:p>
          <w:p w14:paraId="630797CB" w14:textId="5662CABE" w:rsidR="003E4FAD" w:rsidRDefault="006A2DAC" w:rsidP="003E4FAD">
            <w:pPr>
              <w:keepNext/>
              <w:keepLines/>
              <w:numPr>
                <w:ilvl w:val="0"/>
                <w:numId w:val="18"/>
              </w:numPr>
              <w:spacing w:after="120"/>
              <w:jc w:val="left"/>
            </w:pPr>
            <w:r w:rsidRPr="00C379C8">
              <w:t>related SNIs as applicable (e.g. SNI 8267:2016  Liquid chitosan as organic fertilizer- Quality and processing requirements and SNI 7763:2018, Solid organic fertilizers), OR</w:t>
            </w:r>
          </w:p>
          <w:p w14:paraId="35572395" w14:textId="77777777" w:rsidR="00FE448B" w:rsidRPr="00C379C8" w:rsidRDefault="006A2DAC" w:rsidP="003E4FAD">
            <w:pPr>
              <w:keepNext/>
              <w:keepLines/>
              <w:numPr>
                <w:ilvl w:val="0"/>
                <w:numId w:val="18"/>
              </w:numPr>
              <w:spacing w:after="120"/>
              <w:jc w:val="left"/>
            </w:pPr>
            <w:r w:rsidRPr="00C379C8">
              <w:t>Minimum Technical Requirements as applicable</w:t>
            </w:r>
          </w:p>
          <w:p w14:paraId="6AFCE6FD" w14:textId="77777777" w:rsidR="00FE448B" w:rsidRPr="00C379C8" w:rsidRDefault="006A2DAC" w:rsidP="002F32A6">
            <w:pPr>
              <w:keepNext/>
              <w:keepLines/>
              <w:spacing w:after="120"/>
            </w:pPr>
            <w:r w:rsidRPr="00C379C8">
              <w:t>B. Effectiveness testing based on methodology and reporting prescribed in the Regulation and Annex II.</w:t>
            </w:r>
          </w:p>
          <w:p w14:paraId="03366C47" w14:textId="77777777" w:rsidR="00FE448B" w:rsidRPr="00C379C8" w:rsidRDefault="006A2DAC" w:rsidP="002F32A6">
            <w:pPr>
              <w:keepNext/>
              <w:keepLines/>
              <w:spacing w:after="120"/>
            </w:pPr>
            <w:r w:rsidRPr="00C379C8">
              <w:t>Quality and effectiveness testing are performed by an accredited testing institution or designated by Ministerial Decree.</w:t>
            </w:r>
          </w:p>
          <w:p w14:paraId="59E496B7" w14:textId="77777777" w:rsidR="00FE448B" w:rsidRPr="00C379C8" w:rsidRDefault="006A2DAC" w:rsidP="002F32A6">
            <w:pPr>
              <w:keepNext/>
              <w:keepLines/>
              <w:spacing w:after="120"/>
            </w:pPr>
            <w:r w:rsidRPr="00C379C8">
              <w:t>Certificates and/or Quality Assessment result reports are valid for 12 months from the time of issuance and are used as registration requirements.</w:t>
            </w:r>
          </w:p>
        </w:tc>
      </w:tr>
      <w:tr w:rsidR="00F4347A" w14:paraId="6DA8FC6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83D06" w14:textId="77777777" w:rsidR="00F85C99" w:rsidRPr="002F6A28" w:rsidRDefault="006A2DA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9E592" w14:textId="77777777" w:rsidR="00F85C99" w:rsidRPr="002F6A28" w:rsidRDefault="006A2DA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Protection of the environment; Quality requirements</w:t>
            </w:r>
            <w:bookmarkStart w:id="27" w:name="sps7f"/>
            <w:bookmarkEnd w:id="27"/>
          </w:p>
        </w:tc>
      </w:tr>
      <w:tr w:rsidR="00F4347A" w14:paraId="40689A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92BD5" w14:textId="77777777" w:rsidR="00F85C99" w:rsidRPr="002F6A28" w:rsidRDefault="006A2DA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34772" w14:textId="77777777" w:rsidR="00072B36" w:rsidRPr="002F6A28" w:rsidRDefault="006A2DA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218BBAD" w14:textId="77777777" w:rsidR="00642A5B" w:rsidRPr="002F6A28" w:rsidRDefault="006A2DA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No. 13 of 2010 on Horticulture </w:t>
            </w:r>
          </w:p>
          <w:p w14:paraId="49E4BED4" w14:textId="77777777" w:rsidR="00642A5B" w:rsidRPr="002F6A28" w:rsidRDefault="006A2DA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No. 39 of 2014 on Plantation</w:t>
            </w:r>
          </w:p>
          <w:p w14:paraId="6779A2D4" w14:textId="77777777" w:rsidR="00642A5B" w:rsidRPr="002F6A28" w:rsidRDefault="006A2DA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No. 22 of 2019 on Sustainable Plant Cultivation System</w:t>
            </w:r>
          </w:p>
        </w:tc>
      </w:tr>
      <w:tr w:rsidR="00F4347A" w14:paraId="031B594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480C7" w14:textId="77777777" w:rsidR="00EE3A11" w:rsidRPr="002F6A28" w:rsidRDefault="006A2DA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D1667" w14:textId="77777777" w:rsidR="00EE3A11" w:rsidRPr="002F6A28" w:rsidRDefault="006A2DA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2 January 2019</w:t>
            </w:r>
            <w:bookmarkStart w:id="30" w:name="sps10a"/>
            <w:bookmarkStart w:id="31" w:name="sps10b"/>
            <w:bookmarkEnd w:id="30"/>
            <w:bookmarkEnd w:id="31"/>
          </w:p>
          <w:p w14:paraId="69E14B87" w14:textId="77777777" w:rsidR="00EE3A11" w:rsidRPr="002F6A28" w:rsidRDefault="006A2DA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2 January 2019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F4347A" w14:paraId="67FB14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CCD76" w14:textId="77777777" w:rsidR="00F85C99" w:rsidRPr="002F6A28" w:rsidRDefault="006A2DA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30B72" w14:textId="77777777" w:rsidR="00F85C99" w:rsidRPr="002F6A28" w:rsidRDefault="006A2DA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4347A" w14:paraId="2BF6EAA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652C326" w14:textId="77777777" w:rsidR="00F85C99" w:rsidRPr="002F6A28" w:rsidRDefault="006A2DA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01542CC" w14:textId="77777777" w:rsidR="00F85C99" w:rsidRPr="002F6A28" w:rsidRDefault="006A2DA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AB07C93" w14:textId="77777777" w:rsidR="00642A5B" w:rsidRPr="002F6A28" w:rsidRDefault="006A2DAC" w:rsidP="00B16145">
            <w:pPr>
              <w:keepNext/>
              <w:keepLines/>
              <w:spacing w:before="120" w:after="120"/>
              <w:jc w:val="left"/>
            </w:pPr>
            <w:r w:rsidRPr="002F6A28">
              <w:t>Directorate of Implementation System for Standards and Conformity Assessment</w:t>
            </w:r>
            <w:r w:rsidRPr="002F6A28">
              <w:br/>
              <w:t>National Standardization Agency, Indonesia (BSN)</w:t>
            </w:r>
            <w:r w:rsidRPr="002F6A28">
              <w:br/>
              <w:t>BPPT I Building, 12th floor</w:t>
            </w:r>
            <w:r w:rsidRPr="002F6A28">
              <w:br/>
              <w:t>Jl. M.H. Thamrin No.8</w:t>
            </w:r>
            <w:r w:rsidRPr="002F6A28">
              <w:br/>
              <w:t>Jakarta 10340 – Indonesia</w:t>
            </w:r>
            <w:r w:rsidRPr="002F6A28">
              <w:br/>
              <w:t>Telephone : +(62-21) 3927434 ext. 127</w:t>
            </w:r>
            <w:r w:rsidRPr="002F6A28">
              <w:br/>
              <w:t>Facsimile: +(62-21) 3927528</w:t>
            </w:r>
            <w:r w:rsidRPr="002F6A28">
              <w:br/>
              <w:t xml:space="preserve">E-mail: </w:t>
            </w:r>
            <w:hyperlink r:id="rId12" w:history="1">
              <w:r w:rsidRPr="002F6A28">
                <w:rPr>
                  <w:color w:val="0000FF"/>
                  <w:u w:val="single"/>
                </w:rPr>
                <w:t>tbt.indonesia@gmail.com</w:t>
              </w:r>
            </w:hyperlink>
            <w:r w:rsidRPr="002F6A28">
              <w:t xml:space="preserve">; </w:t>
            </w:r>
            <w:hyperlink r:id="rId13" w:history="1">
              <w:r w:rsidRPr="002F6A28">
                <w:rPr>
                  <w:color w:val="0000FF"/>
                  <w:u w:val="single"/>
                </w:rPr>
                <w:t>tbt.indonesia@bsn.go.id</w:t>
              </w:r>
            </w:hyperlink>
            <w:r w:rsidRPr="002F6A28">
              <w:br/>
              <w:t xml:space="preserve">Website: </w:t>
            </w:r>
            <w:hyperlink r:id="rId14" w:history="1">
              <w:r w:rsidRPr="002F6A28">
                <w:rPr>
                  <w:color w:val="0000FF"/>
                  <w:u w:val="single"/>
                </w:rPr>
                <w:t>http://www.bsn.go.id</w:t>
              </w:r>
            </w:hyperlink>
          </w:p>
          <w:p w14:paraId="3FA805E5" w14:textId="77777777" w:rsidR="00642A5B" w:rsidRPr="002F6A28" w:rsidRDefault="00097794" w:rsidP="00B16145">
            <w:pPr>
              <w:keepNext/>
              <w:keepLines/>
              <w:spacing w:before="120" w:after="120"/>
            </w:pPr>
            <w:hyperlink r:id="rId15" w:history="1">
              <w:r w:rsidR="002F32A6" w:rsidRPr="002F6A28">
                <w:rPr>
                  <w:color w:val="0000FF"/>
                  <w:u w:val="single"/>
                </w:rPr>
                <w:t>https://members.wto.org/crnattachments/2020/TBT/IDN/20_3838_00_x.pdf</w:t>
              </w:r>
            </w:hyperlink>
            <w:bookmarkEnd w:id="40"/>
          </w:p>
        </w:tc>
      </w:tr>
    </w:tbl>
    <w:p w14:paraId="3A94AE95" w14:textId="77777777" w:rsidR="00EE3A11" w:rsidRPr="002F6A28" w:rsidRDefault="00EE3A11" w:rsidP="002F6A28"/>
    <w:sectPr w:rsidR="00EE3A11" w:rsidRPr="002F6A28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0131" w14:textId="77777777" w:rsidR="000B7AFB" w:rsidRDefault="006A2DAC">
      <w:r>
        <w:separator/>
      </w:r>
    </w:p>
  </w:endnote>
  <w:endnote w:type="continuationSeparator" w:id="0">
    <w:p w14:paraId="7B9DC45B" w14:textId="77777777" w:rsidR="000B7AFB" w:rsidRDefault="006A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5842" w14:textId="77777777" w:rsidR="009239F7" w:rsidRPr="002F6A28" w:rsidRDefault="006A2DA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06E1" w14:textId="77777777" w:rsidR="009239F7" w:rsidRPr="002F6A28" w:rsidRDefault="006A2DA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669C" w14:textId="77777777" w:rsidR="00EE3A11" w:rsidRPr="002F6A28" w:rsidRDefault="006A2DA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6085" w14:textId="77777777" w:rsidR="000B7AFB" w:rsidRDefault="006A2DAC">
      <w:r>
        <w:separator/>
      </w:r>
    </w:p>
  </w:footnote>
  <w:footnote w:type="continuationSeparator" w:id="0">
    <w:p w14:paraId="279C1BA0" w14:textId="77777777" w:rsidR="000B7AFB" w:rsidRDefault="006A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78A4" w14:textId="77777777" w:rsidR="009239F7" w:rsidRPr="002F6A28" w:rsidRDefault="006A2DA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22EF0B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D64F3E" w14:textId="77777777" w:rsidR="009239F7" w:rsidRPr="002F6A28" w:rsidRDefault="006A2DA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1AAA33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A6A24" w14:textId="77777777" w:rsidR="009239F7" w:rsidRPr="002F6A28" w:rsidRDefault="006A2DA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G/TBT/N/IDN/128</w:t>
    </w:r>
    <w:bookmarkEnd w:id="41"/>
  </w:p>
  <w:p w14:paraId="6CF6CB0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D7D795" w14:textId="77777777" w:rsidR="009239F7" w:rsidRPr="002F6A28" w:rsidRDefault="006A2DA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D765BB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4347A" w14:paraId="10A9A9C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E0581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A0535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4347A" w14:paraId="57125A4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E36FEA" w14:textId="77777777" w:rsidR="00ED54E0" w:rsidRPr="009239F7" w:rsidRDefault="00097794" w:rsidP="00B801E9">
          <w:pPr>
            <w:jc w:val="left"/>
          </w:pPr>
          <w:r>
            <w:rPr>
              <w:lang w:eastAsia="en-GB"/>
            </w:rPr>
            <w:pict w14:anchorId="769264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49536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4347A" w14:paraId="0394662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1D71C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A2333C" w14:textId="77777777" w:rsidR="009239F7" w:rsidRPr="002F6A28" w:rsidRDefault="006A2DA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G/TBT/N/IDN/128</w:t>
          </w:r>
          <w:bookmarkEnd w:id="43"/>
        </w:p>
      </w:tc>
    </w:tr>
    <w:tr w:rsidR="00F4347A" w14:paraId="402AC12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1ED7F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4F8EED" w14:textId="25543A5D" w:rsidR="00ED54E0" w:rsidRPr="009239F7" w:rsidRDefault="006344F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June 2020</w:t>
          </w:r>
        </w:p>
      </w:tc>
    </w:tr>
    <w:tr w:rsidR="00F4347A" w14:paraId="384B15D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40278B" w14:textId="078E71DD" w:rsidR="00ED54E0" w:rsidRPr="009239F7" w:rsidRDefault="006A2DA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6344FE">
            <w:rPr>
              <w:color w:val="FF0000"/>
              <w:szCs w:val="16"/>
            </w:rPr>
            <w:t>20-</w:t>
          </w:r>
          <w:r w:rsidR="00097794">
            <w:rPr>
              <w:color w:val="FF0000"/>
              <w:szCs w:val="16"/>
            </w:rPr>
            <w:t>4380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39D272" w14:textId="77777777" w:rsidR="00ED54E0" w:rsidRPr="009239F7" w:rsidRDefault="006A2DA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4347A" w14:paraId="58F2F1F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90A175" w14:textId="77777777" w:rsidR="00ED54E0" w:rsidRPr="009239F7" w:rsidRDefault="006A2DA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8ED7A0" w14:textId="77777777" w:rsidR="00ED54E0" w:rsidRPr="002F6A28" w:rsidRDefault="006A2DA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B39463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20C2F"/>
    <w:multiLevelType w:val="hybridMultilevel"/>
    <w:tmpl w:val="FFCCC70E"/>
    <w:lvl w:ilvl="0" w:tplc="19649A7C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E501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DA2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F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82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C8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EF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0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07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65BD0"/>
    <w:multiLevelType w:val="hybridMultilevel"/>
    <w:tmpl w:val="F454F720"/>
    <w:lvl w:ilvl="0" w:tplc="7DD26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49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24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8B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EC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E5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C5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E6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C3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97E1EB4"/>
    <w:numStyleLink w:val="LegalHeadings"/>
  </w:abstractNum>
  <w:abstractNum w:abstractNumId="14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1E4DB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9A4ED0" w:tentative="1">
      <w:start w:val="1"/>
      <w:numFmt w:val="lowerLetter"/>
      <w:lvlText w:val="%2."/>
      <w:lvlJc w:val="left"/>
      <w:pPr>
        <w:ind w:left="1080" w:hanging="360"/>
      </w:pPr>
    </w:lvl>
    <w:lvl w:ilvl="2" w:tplc="086EBF96" w:tentative="1">
      <w:start w:val="1"/>
      <w:numFmt w:val="lowerRoman"/>
      <w:lvlText w:val="%3."/>
      <w:lvlJc w:val="right"/>
      <w:pPr>
        <w:ind w:left="1800" w:hanging="180"/>
      </w:pPr>
    </w:lvl>
    <w:lvl w:ilvl="3" w:tplc="64766616" w:tentative="1">
      <w:start w:val="1"/>
      <w:numFmt w:val="decimal"/>
      <w:lvlText w:val="%4."/>
      <w:lvlJc w:val="left"/>
      <w:pPr>
        <w:ind w:left="2520" w:hanging="360"/>
      </w:pPr>
    </w:lvl>
    <w:lvl w:ilvl="4" w:tplc="EBCA47F6" w:tentative="1">
      <w:start w:val="1"/>
      <w:numFmt w:val="lowerLetter"/>
      <w:lvlText w:val="%5."/>
      <w:lvlJc w:val="left"/>
      <w:pPr>
        <w:ind w:left="3240" w:hanging="360"/>
      </w:pPr>
    </w:lvl>
    <w:lvl w:ilvl="5" w:tplc="3FC0F60A" w:tentative="1">
      <w:start w:val="1"/>
      <w:numFmt w:val="lowerRoman"/>
      <w:lvlText w:val="%6."/>
      <w:lvlJc w:val="right"/>
      <w:pPr>
        <w:ind w:left="3960" w:hanging="180"/>
      </w:pPr>
    </w:lvl>
    <w:lvl w:ilvl="6" w:tplc="99CA6DEE" w:tentative="1">
      <w:start w:val="1"/>
      <w:numFmt w:val="decimal"/>
      <w:lvlText w:val="%7."/>
      <w:lvlJc w:val="left"/>
      <w:pPr>
        <w:ind w:left="4680" w:hanging="360"/>
      </w:pPr>
    </w:lvl>
    <w:lvl w:ilvl="7" w:tplc="ABFEA674" w:tentative="1">
      <w:start w:val="1"/>
      <w:numFmt w:val="lowerLetter"/>
      <w:lvlText w:val="%8."/>
      <w:lvlJc w:val="left"/>
      <w:pPr>
        <w:ind w:left="5400" w:hanging="360"/>
      </w:pPr>
    </w:lvl>
    <w:lvl w:ilvl="8" w:tplc="57527C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6BB"/>
    <w:multiLevelType w:val="hybridMultilevel"/>
    <w:tmpl w:val="63D526BB"/>
    <w:lvl w:ilvl="0" w:tplc="8DCAE4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8D83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487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0ECC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A862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5ACB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848A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1E7A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2A5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97794"/>
    <w:rsid w:val="000A4945"/>
    <w:rsid w:val="000A50C1"/>
    <w:rsid w:val="000A6875"/>
    <w:rsid w:val="000B31E1"/>
    <w:rsid w:val="000B7AFB"/>
    <w:rsid w:val="000E1CF4"/>
    <w:rsid w:val="000E7D87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D5ACD"/>
    <w:rsid w:val="002E174F"/>
    <w:rsid w:val="002F32A6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4FAD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44FE"/>
    <w:rsid w:val="00642A5B"/>
    <w:rsid w:val="00643C1F"/>
    <w:rsid w:val="00655881"/>
    <w:rsid w:val="0066043C"/>
    <w:rsid w:val="006607BC"/>
    <w:rsid w:val="00674CCD"/>
    <w:rsid w:val="00682D50"/>
    <w:rsid w:val="006845EE"/>
    <w:rsid w:val="0069259F"/>
    <w:rsid w:val="006A2DAC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347A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26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t@pertanian.go.id" TargetMode="External"/><Relationship Id="rId13" Type="http://schemas.openxmlformats.org/officeDocument/2006/relationships/hyperlink" Target="mailto:tbt.indonesia@bsn.go.i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pvtpp.setjen.pertanian.go.id" TargetMode="External"/><Relationship Id="rId12" Type="http://schemas.openxmlformats.org/officeDocument/2006/relationships/hyperlink" Target="mailto:tbt.indonesia@g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sn.g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0/TBT/IDN/20_3838_00_x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bt.indonesia@bsn.go.id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bt.indonesia@gmail.com" TargetMode="External"/><Relationship Id="rId14" Type="http://schemas.openxmlformats.org/officeDocument/2006/relationships/hyperlink" Target="http://www.bsn.go.id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1D5B44C6.dotm</Template>
  <TotalTime>88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2020-06-23T10:19:00Z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0a61c5b9-a628-4608-a726-ba9c4e7fc8c8</vt:lpwstr>
  </property>
  <property fmtid="{D5CDD505-2E9C-101B-9397-08002B2CF9AE}" pid="4" name="WTOCLASSIFICATION">
    <vt:lpwstr>WTO OFFICIAL</vt:lpwstr>
  </property>
</Properties>
</file>