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2445" w14:textId="77777777" w:rsidR="009239F7" w:rsidRPr="002F6A28" w:rsidRDefault="008F254D" w:rsidP="002F6A28">
      <w:pPr>
        <w:pStyle w:val="Title"/>
        <w:rPr>
          <w:caps w:val="0"/>
          <w:kern w:val="0"/>
        </w:rPr>
      </w:pPr>
      <w:bookmarkStart w:id="0" w:name="_GoBack"/>
      <w:bookmarkEnd w:id="0"/>
      <w:r w:rsidRPr="002F6A28">
        <w:rPr>
          <w:caps w:val="0"/>
          <w:kern w:val="0"/>
        </w:rPr>
        <w:t>NOTIFICATION</w:t>
      </w:r>
    </w:p>
    <w:p w14:paraId="1CFA54F1" w14:textId="77777777" w:rsidR="009239F7" w:rsidRPr="002F6A28" w:rsidRDefault="008F254D" w:rsidP="002F6A28">
      <w:pPr>
        <w:jc w:val="center"/>
      </w:pPr>
      <w:r w:rsidRPr="002F6A28">
        <w:t>The following notification is being circulated in accordance with Article 10.6</w:t>
      </w:r>
    </w:p>
    <w:p w14:paraId="4A996E4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E295F" w14:paraId="3ED9CD82" w14:textId="77777777" w:rsidTr="0069259F">
        <w:tc>
          <w:tcPr>
            <w:tcW w:w="713" w:type="dxa"/>
            <w:tcBorders>
              <w:bottom w:val="single" w:sz="6" w:space="0" w:color="auto"/>
            </w:tcBorders>
            <w:shd w:val="clear" w:color="auto" w:fill="auto"/>
          </w:tcPr>
          <w:p w14:paraId="7B2873A1" w14:textId="77777777" w:rsidR="00F85C99" w:rsidRPr="002F6A28" w:rsidRDefault="008F254D" w:rsidP="002F6A28">
            <w:pPr>
              <w:spacing w:before="120" w:after="120"/>
              <w:jc w:val="left"/>
            </w:pPr>
            <w:r w:rsidRPr="002F6A28">
              <w:rPr>
                <w:b/>
              </w:rPr>
              <w:t>1.</w:t>
            </w:r>
          </w:p>
        </w:tc>
        <w:tc>
          <w:tcPr>
            <w:tcW w:w="8546" w:type="dxa"/>
            <w:tcBorders>
              <w:bottom w:val="single" w:sz="6" w:space="0" w:color="auto"/>
            </w:tcBorders>
            <w:shd w:val="clear" w:color="auto" w:fill="auto"/>
          </w:tcPr>
          <w:p w14:paraId="59E8DF86" w14:textId="77777777" w:rsidR="00F85C99" w:rsidRPr="002F6A28" w:rsidRDefault="008F254D"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14:paraId="55D3F138" w14:textId="77777777" w:rsidR="00F85C99" w:rsidRPr="002F6A28" w:rsidRDefault="008F254D"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E295F" w:rsidRPr="008612AA" w14:paraId="4B87AD9E" w14:textId="77777777" w:rsidTr="0069259F">
        <w:tc>
          <w:tcPr>
            <w:tcW w:w="713" w:type="dxa"/>
            <w:tcBorders>
              <w:top w:val="single" w:sz="6" w:space="0" w:color="auto"/>
              <w:bottom w:val="single" w:sz="6" w:space="0" w:color="auto"/>
            </w:tcBorders>
            <w:shd w:val="clear" w:color="auto" w:fill="auto"/>
          </w:tcPr>
          <w:p w14:paraId="44ADB7BD" w14:textId="77777777" w:rsidR="00F85C99" w:rsidRPr="002F6A28" w:rsidRDefault="008F254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76E9A63" w14:textId="77777777" w:rsidR="00F85C99" w:rsidRPr="002F6A28" w:rsidRDefault="008F254D"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4925A1CE" w14:textId="77777777" w:rsidR="00F85C99" w:rsidRPr="002F6A28" w:rsidRDefault="008F254D"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43BD2D82" w14:textId="77777777" w:rsidR="0078629D" w:rsidRPr="00C07270" w:rsidRDefault="008F254D" w:rsidP="00AA646C">
            <w:pPr>
              <w:spacing w:after="120"/>
              <w:jc w:val="left"/>
              <w:rPr>
                <w:lang w:val="fr-CH"/>
              </w:rPr>
            </w:pPr>
            <w:proofErr w:type="spellStart"/>
            <w:r w:rsidRPr="00C07270">
              <w:rPr>
                <w:lang w:val="fr-CH"/>
              </w:rPr>
              <w:t>European</w:t>
            </w:r>
            <w:proofErr w:type="spellEnd"/>
            <w:r w:rsidRPr="00C07270">
              <w:rPr>
                <w:lang w:val="fr-CH"/>
              </w:rPr>
              <w:t xml:space="preserve"> Commission</w:t>
            </w:r>
            <w:r w:rsidRPr="00C07270">
              <w:rPr>
                <w:lang w:val="fr-CH"/>
              </w:rPr>
              <w:br/>
              <w:t xml:space="preserve">EU-TBT </w:t>
            </w:r>
            <w:proofErr w:type="spellStart"/>
            <w:r w:rsidRPr="00C07270">
              <w:rPr>
                <w:lang w:val="fr-CH"/>
              </w:rPr>
              <w:t>Enquiry</w:t>
            </w:r>
            <w:proofErr w:type="spellEnd"/>
            <w:r w:rsidRPr="00C07270">
              <w:rPr>
                <w:lang w:val="fr-CH"/>
              </w:rPr>
              <w:t xml:space="preserve"> Point</w:t>
            </w:r>
            <w:r w:rsidRPr="00C07270">
              <w:rPr>
                <w:lang w:val="fr-CH"/>
              </w:rPr>
              <w:br/>
              <w:t>Fax: +(32) 2 299 80 43</w:t>
            </w:r>
            <w:r w:rsidRPr="00C07270">
              <w:rPr>
                <w:lang w:val="fr-CH"/>
              </w:rPr>
              <w:br/>
              <w:t xml:space="preserve">E-mail: </w:t>
            </w:r>
            <w:hyperlink r:id="rId7" w:history="1">
              <w:r w:rsidRPr="00C07270">
                <w:rPr>
                  <w:color w:val="0000FF"/>
                  <w:u w:val="single"/>
                  <w:lang w:val="fr-CH"/>
                </w:rPr>
                <w:t>grow-eu-tbt@ec.europa.eu</w:t>
              </w:r>
            </w:hyperlink>
            <w:r w:rsidRPr="00C07270">
              <w:rPr>
                <w:lang w:val="fr-CH"/>
              </w:rPr>
              <w:br/>
            </w:r>
            <w:proofErr w:type="spellStart"/>
            <w:r w:rsidRPr="00C07270">
              <w:rPr>
                <w:lang w:val="fr-CH"/>
              </w:rPr>
              <w:t>Website</w:t>
            </w:r>
            <w:proofErr w:type="spellEnd"/>
            <w:r w:rsidRPr="00C07270">
              <w:rPr>
                <w:lang w:val="fr-CH"/>
              </w:rPr>
              <w:t xml:space="preserve">: </w:t>
            </w:r>
            <w:hyperlink r:id="rId8" w:history="1">
              <w:r w:rsidRPr="00C07270">
                <w:rPr>
                  <w:color w:val="0000FF"/>
                  <w:u w:val="single"/>
                  <w:lang w:val="fr-CH"/>
                </w:rPr>
                <w:t>http://ec.europa.eu/growth/tools-databases/tbt/en/</w:t>
              </w:r>
            </w:hyperlink>
            <w:r w:rsidRPr="00C07270">
              <w:rPr>
                <w:lang w:val="fr-CH"/>
              </w:rPr>
              <w:t xml:space="preserve"> </w:t>
            </w:r>
            <w:bookmarkEnd w:id="8"/>
          </w:p>
        </w:tc>
      </w:tr>
      <w:tr w:rsidR="006E295F" w14:paraId="000A08B8" w14:textId="77777777" w:rsidTr="0069259F">
        <w:tc>
          <w:tcPr>
            <w:tcW w:w="713" w:type="dxa"/>
            <w:tcBorders>
              <w:top w:val="single" w:sz="6" w:space="0" w:color="auto"/>
              <w:bottom w:val="single" w:sz="6" w:space="0" w:color="auto"/>
            </w:tcBorders>
            <w:shd w:val="clear" w:color="auto" w:fill="auto"/>
          </w:tcPr>
          <w:p w14:paraId="2F1C54A0" w14:textId="77777777" w:rsidR="00F85C99" w:rsidRPr="002F6A28" w:rsidRDefault="008F254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CE749E0" w14:textId="77777777" w:rsidR="00F85C99" w:rsidRPr="0058336F" w:rsidRDefault="008F254D"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E295F" w14:paraId="3E663866" w14:textId="77777777" w:rsidTr="0069259F">
        <w:tc>
          <w:tcPr>
            <w:tcW w:w="713" w:type="dxa"/>
            <w:tcBorders>
              <w:top w:val="single" w:sz="6" w:space="0" w:color="auto"/>
              <w:bottom w:val="single" w:sz="6" w:space="0" w:color="auto"/>
            </w:tcBorders>
            <w:shd w:val="clear" w:color="auto" w:fill="auto"/>
          </w:tcPr>
          <w:p w14:paraId="1BFD3584" w14:textId="77777777" w:rsidR="00F85C99" w:rsidRPr="002F6A28" w:rsidRDefault="008F254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BFAC50C" w14:textId="77777777" w:rsidR="00F85C99" w:rsidRPr="002F6A28" w:rsidRDefault="008F254D"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Terbuthylazine (pesticide active substance); Pesticides and other agrochemicals (ICS</w:t>
            </w:r>
            <w:r>
              <w:t> </w:t>
            </w:r>
            <w:r w:rsidR="00EE3A11" w:rsidRPr="00C379C8">
              <w:t>65.100)</w:t>
            </w:r>
            <w:bookmarkStart w:id="21" w:name="sps3a"/>
            <w:bookmarkEnd w:id="21"/>
          </w:p>
        </w:tc>
      </w:tr>
      <w:tr w:rsidR="006E295F" w14:paraId="011A2AEB" w14:textId="77777777" w:rsidTr="0069259F">
        <w:tc>
          <w:tcPr>
            <w:tcW w:w="713" w:type="dxa"/>
            <w:tcBorders>
              <w:top w:val="single" w:sz="6" w:space="0" w:color="auto"/>
              <w:bottom w:val="single" w:sz="6" w:space="0" w:color="auto"/>
            </w:tcBorders>
            <w:shd w:val="clear" w:color="auto" w:fill="auto"/>
          </w:tcPr>
          <w:p w14:paraId="728E6F21" w14:textId="77777777" w:rsidR="00F85C99" w:rsidRPr="002F6A28" w:rsidRDefault="008F254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D4A292A" w14:textId="77777777" w:rsidR="00F85C99" w:rsidRPr="002F6A28" w:rsidRDefault="008F254D"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Regulation amending Implementing Regulations (EU) No</w:t>
            </w:r>
            <w:r>
              <w:t> </w:t>
            </w:r>
            <w:r w:rsidR="00EE3A11" w:rsidRPr="00C379C8">
              <w:t>540/2011 and 820/2011 as regards the conditions of approval of the active substance terbuthylazine (5 page(s), in English; 5 page(s), in English)</w:t>
            </w:r>
            <w:bookmarkStart w:id="23" w:name="sps5a"/>
            <w:bookmarkStart w:id="24" w:name="sps5c"/>
            <w:bookmarkStart w:id="25" w:name="sps5b"/>
            <w:bookmarkEnd w:id="23"/>
            <w:bookmarkEnd w:id="24"/>
            <w:bookmarkEnd w:id="25"/>
          </w:p>
        </w:tc>
      </w:tr>
      <w:tr w:rsidR="006E295F" w14:paraId="012EE3F2" w14:textId="77777777" w:rsidTr="0069259F">
        <w:tc>
          <w:tcPr>
            <w:tcW w:w="713" w:type="dxa"/>
            <w:tcBorders>
              <w:top w:val="single" w:sz="6" w:space="0" w:color="auto"/>
              <w:bottom w:val="single" w:sz="6" w:space="0" w:color="auto"/>
            </w:tcBorders>
            <w:shd w:val="clear" w:color="auto" w:fill="auto"/>
          </w:tcPr>
          <w:p w14:paraId="63ED3A1B" w14:textId="77777777" w:rsidR="00F85C99" w:rsidRPr="002F6A28" w:rsidRDefault="008F254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EDB1B9E" w14:textId="77777777" w:rsidR="00F85C99" w:rsidRPr="002F6A28" w:rsidRDefault="008F254D"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Regulation provides that the approval of the active substance terbuthylazine is amended to set revised limits for two toxicologically relevant impurities in the technical material and to introduce a restriction to the rate and frequency of use of the substance. EU Member States shall review authorisations for plant protection products containing terbuthylazine as an active substance. The amendment of the conditions of approval is based on the evaluation of the confirmatory information required in the approval of terbuthylazine for use as a pesticide active substance in the EU under Regulation (EC) No 1107/2009. </w:t>
            </w:r>
          </w:p>
          <w:p w14:paraId="56BF3A5D" w14:textId="77777777" w:rsidR="00FE448B" w:rsidRPr="00C379C8" w:rsidRDefault="008F254D" w:rsidP="002F6A28">
            <w:pPr>
              <w:spacing w:after="120"/>
            </w:pPr>
            <w:r w:rsidRPr="00C379C8">
              <w:t xml:space="preserve">This decision only concerns the placing on the market of this substance and plant protection products containing it. </w:t>
            </w:r>
          </w:p>
        </w:tc>
      </w:tr>
      <w:tr w:rsidR="006E295F" w14:paraId="6AA357C5" w14:textId="77777777" w:rsidTr="0069259F">
        <w:tc>
          <w:tcPr>
            <w:tcW w:w="713" w:type="dxa"/>
            <w:tcBorders>
              <w:top w:val="single" w:sz="6" w:space="0" w:color="auto"/>
              <w:bottom w:val="single" w:sz="6" w:space="0" w:color="auto"/>
            </w:tcBorders>
            <w:shd w:val="clear" w:color="auto" w:fill="auto"/>
          </w:tcPr>
          <w:p w14:paraId="7EEB6C70" w14:textId="77777777" w:rsidR="00F85C99" w:rsidRPr="002F6A28" w:rsidRDefault="008F254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8AC075E" w14:textId="77777777" w:rsidR="00F85C99" w:rsidRPr="002F6A28" w:rsidRDefault="008F254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w:t>
            </w:r>
            <w:proofErr w:type="gramStart"/>
            <w:r w:rsidR="00EE3A11" w:rsidRPr="00C379C8">
              <w:t>and also</w:t>
            </w:r>
            <w:proofErr w:type="gramEnd"/>
            <w:r w:rsidR="00EE3A11" w:rsidRPr="00C379C8">
              <w:t xml:space="preserve"> detailed in Annex II thereto) which must be met to enable approval. Based on the assessment of the confirmatory information related to the specification of the technical material as manufactured, it is concluded that revised maximum levels for propazine and </w:t>
            </w:r>
            <w:r w:rsidR="00EE3A11" w:rsidRPr="00C379C8">
              <w:lastRenderedPageBreak/>
              <w:t>simazine in the technical material as manufactured should be established. EFSA also identified a risk to infants and toddlers under some conditions of use from exposure to metabolites of terbuthylazine through food and drinking water, according to the additional information provided by the applicant and based on the use of terbuthylazine at a rate of 850 g/ha each year on the same field. Furthermore, where terbuthylazine is applied every year at a maximum rate of 850 g/ha, two metabolites of terbuthylazine, LM3 and LM6, are predicted to occur in groundwater above 0.75 µg/L in all scenarios, triggering the need for a consumer risk assessment which, however, could not be carried out since health-based reference values could not be derived based on the available data. Therefore, it is necessary and appropriate to restrict the approval of terbuthylazine to use only every third year on the same field at a maximum rate of 850 g/ha. It is also necessary to amend the maximum levels of the relevant impurities propazine and simazine (to a maximum of 9 g/kg). Existing authorisations will need to be adapted accordingly; EU Member States must ensure that the placing on the market of terbuthylazine and the plant protection products containing it are in compliance with the amended conditions of approval as introduced by this draft Commission Implementing Regulation; Protection of human health or safety; Protection of animal or plant life or health; Protection of the environment</w:t>
            </w:r>
            <w:bookmarkStart w:id="28" w:name="sps7f"/>
            <w:bookmarkEnd w:id="28"/>
          </w:p>
        </w:tc>
      </w:tr>
      <w:tr w:rsidR="006E295F" w:rsidRPr="008612AA" w14:paraId="11A39FA9" w14:textId="77777777" w:rsidTr="0069259F">
        <w:tc>
          <w:tcPr>
            <w:tcW w:w="713" w:type="dxa"/>
            <w:tcBorders>
              <w:top w:val="single" w:sz="6" w:space="0" w:color="auto"/>
              <w:bottom w:val="single" w:sz="6" w:space="0" w:color="auto"/>
            </w:tcBorders>
            <w:shd w:val="clear" w:color="auto" w:fill="auto"/>
          </w:tcPr>
          <w:p w14:paraId="176B0A5E" w14:textId="77777777" w:rsidR="00F85C99" w:rsidRPr="002F6A28" w:rsidRDefault="008F254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0797DE9" w14:textId="77777777" w:rsidR="00072B36" w:rsidRPr="002F6A28" w:rsidRDefault="008F254D" w:rsidP="00C07270">
            <w:pPr>
              <w:spacing w:before="120" w:after="120"/>
            </w:pPr>
            <w:bookmarkStart w:id="29" w:name="X_TBT_Reg_8A"/>
            <w:r w:rsidRPr="002F6A28">
              <w:rPr>
                <w:b/>
              </w:rPr>
              <w:t>Relevant documents</w:t>
            </w:r>
            <w:bookmarkEnd w:id="29"/>
            <w:r w:rsidRPr="002F6A28">
              <w:rPr>
                <w:b/>
              </w:rPr>
              <w:t>:</w:t>
            </w:r>
            <w:r w:rsidR="00EE3A11" w:rsidRPr="002F6A28">
              <w:t xml:space="preserve"> </w:t>
            </w:r>
          </w:p>
          <w:p w14:paraId="4FE00B3E" w14:textId="77777777" w:rsidR="0078629D" w:rsidRPr="002F6A28" w:rsidRDefault="008F254D" w:rsidP="00C07270">
            <w:pPr>
              <w:numPr>
                <w:ilvl w:val="0"/>
                <w:numId w:val="16"/>
              </w:numPr>
              <w:spacing w:before="120" w:after="120"/>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hyperlink r:id="rId9" w:history="1">
              <w:r w:rsidRPr="002F6A28">
                <w:rPr>
                  <w:bCs/>
                  <w:color w:val="0000FF"/>
                  <w:u w:val="single"/>
                </w:rPr>
                <w:t>https://eur-lex.europa.eu/legal-content/AUTO/?uri=CELEX:32009R1107&amp;qid=1590756186915&amp;rid=1</w:t>
              </w:r>
            </w:hyperlink>
          </w:p>
          <w:p w14:paraId="611C1AD2" w14:textId="77777777" w:rsidR="0078629D" w:rsidRPr="002F6A28" w:rsidRDefault="008F254D" w:rsidP="00C07270">
            <w:pPr>
              <w:numPr>
                <w:ilvl w:val="0"/>
                <w:numId w:val="16"/>
              </w:numPr>
              <w:spacing w:before="120"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hyperlink r:id="rId10" w:history="1">
              <w:r w:rsidRPr="002F6A28">
                <w:rPr>
                  <w:bCs/>
                  <w:color w:val="0000FF"/>
                  <w:u w:val="single"/>
                </w:rPr>
                <w:t>https://eur-lex.europa.eu/legal-content/AUTO/?uri=CELEX:32011R0540&amp;qid=1590756246146&amp;rid=1</w:t>
              </w:r>
            </w:hyperlink>
          </w:p>
          <w:p w14:paraId="0E3DD2AB" w14:textId="77777777" w:rsidR="0078629D" w:rsidRPr="002F6A28" w:rsidRDefault="008F254D" w:rsidP="00C07270">
            <w:pPr>
              <w:numPr>
                <w:ilvl w:val="0"/>
                <w:numId w:val="16"/>
              </w:numPr>
              <w:spacing w:before="120" w:after="120"/>
              <w:rPr>
                <w:bCs/>
              </w:rPr>
            </w:pPr>
            <w:r w:rsidRPr="002F6A28">
              <w:rPr>
                <w:bCs/>
              </w:rPr>
              <w:t xml:space="preserve">Commission Implementing Regulation (EU) No 820/2011 of 16 August 2011 approving the active substance terbuthylazine, in accordance with Regulation (EC) No 1107/2009 of the European Parliament and of the Council concerning the placing of plant protection products on the market, and amending the Annex to Commission Implementing Regulation (EU) No 540/2011 and Commission Decision 2008/934/EC  </w:t>
            </w:r>
            <w:hyperlink r:id="rId11" w:history="1">
              <w:r w:rsidRPr="002F6A28">
                <w:rPr>
                  <w:bCs/>
                  <w:color w:val="0000FF"/>
                  <w:u w:val="single"/>
                </w:rPr>
                <w:t>https://eur-lex.europa.eu/legal-content/EN/TXT/PDF/?uri=CELEX:32011R0820&amp;from=EN</w:t>
              </w:r>
            </w:hyperlink>
            <w:r w:rsidRPr="002F6A28">
              <w:rPr>
                <w:bCs/>
              </w:rPr>
              <w:t xml:space="preserve"> </w:t>
            </w:r>
          </w:p>
          <w:p w14:paraId="74C79E91" w14:textId="77777777" w:rsidR="0078629D" w:rsidRPr="00C07270" w:rsidRDefault="008F254D" w:rsidP="00C07270">
            <w:pPr>
              <w:numPr>
                <w:ilvl w:val="0"/>
                <w:numId w:val="16"/>
              </w:numPr>
              <w:spacing w:before="120" w:after="120"/>
              <w:rPr>
                <w:bCs/>
                <w:lang w:val="fr-CH"/>
              </w:rPr>
            </w:pPr>
            <w:r w:rsidRPr="002F6A28">
              <w:rPr>
                <w:bCs/>
              </w:rPr>
              <w:t xml:space="preserve">EFSA (European Food Safety Authority), 2016. Technical report on the outcome of the consultation with Member States, the applicant and EFSA on the pesticide risk assessment for terbuthylazine </w:t>
            </w:r>
            <w:proofErr w:type="gramStart"/>
            <w:r w:rsidRPr="002F6A28">
              <w:rPr>
                <w:bCs/>
              </w:rPr>
              <w:t>in light of</w:t>
            </w:r>
            <w:proofErr w:type="gramEnd"/>
            <w:r w:rsidRPr="002F6A28">
              <w:rPr>
                <w:bCs/>
              </w:rPr>
              <w:t xml:space="preserve"> confirmatory data. </w:t>
            </w:r>
            <w:r w:rsidRPr="00C07270">
              <w:rPr>
                <w:bCs/>
                <w:lang w:val="fr-CH"/>
              </w:rPr>
              <w:t xml:space="preserve">EFSA </w:t>
            </w:r>
            <w:proofErr w:type="spellStart"/>
            <w:r w:rsidRPr="00C07270">
              <w:rPr>
                <w:bCs/>
                <w:lang w:val="fr-CH"/>
              </w:rPr>
              <w:t>supporting</w:t>
            </w:r>
            <w:proofErr w:type="spellEnd"/>
            <w:r w:rsidRPr="00C07270">
              <w:rPr>
                <w:bCs/>
                <w:lang w:val="fr-CH"/>
              </w:rPr>
              <w:t xml:space="preserve"> publication </w:t>
            </w:r>
            <w:proofErr w:type="gramStart"/>
            <w:r w:rsidRPr="00C07270">
              <w:rPr>
                <w:bCs/>
                <w:lang w:val="fr-CH"/>
              </w:rPr>
              <w:t>2016:EN</w:t>
            </w:r>
            <w:proofErr w:type="gramEnd"/>
            <w:r w:rsidRPr="00C07270">
              <w:rPr>
                <w:bCs/>
                <w:lang w:val="fr-CH"/>
              </w:rPr>
              <w:t xml:space="preserve">-919. 54 pp. </w:t>
            </w:r>
            <w:r w:rsidR="008612AA">
              <w:fldChar w:fldCharType="begin"/>
            </w:r>
            <w:r w:rsidR="008612AA" w:rsidRPr="008612AA">
              <w:rPr>
                <w:lang w:val="fr-CH"/>
              </w:rPr>
              <w:instrText xml:space="preserve"> HYPERLINK "https://efsa.onlinelibrary.wiley.com/doi/epdf/10.2903/sp.efsa.2</w:instrText>
            </w:r>
            <w:r w:rsidR="008612AA" w:rsidRPr="008612AA">
              <w:rPr>
                <w:lang w:val="fr-CH"/>
              </w:rPr>
              <w:instrText xml:space="preserve">016.EN-919" </w:instrText>
            </w:r>
            <w:r w:rsidR="008612AA">
              <w:fldChar w:fldCharType="separate"/>
            </w:r>
            <w:r w:rsidRPr="00C07270">
              <w:rPr>
                <w:bCs/>
                <w:color w:val="0000FF"/>
                <w:u w:val="single"/>
                <w:lang w:val="fr-CH"/>
              </w:rPr>
              <w:t>https://efsa.onlinelibrary.wiley.com/doi/epdf/10.2903/sp.efsa.2016.EN-919</w:t>
            </w:r>
            <w:r w:rsidR="008612AA">
              <w:rPr>
                <w:bCs/>
                <w:color w:val="0000FF"/>
                <w:u w:val="single"/>
                <w:lang w:val="fr-CH"/>
              </w:rPr>
              <w:fldChar w:fldCharType="end"/>
            </w:r>
          </w:p>
          <w:p w14:paraId="291B2693" w14:textId="77777777" w:rsidR="0078629D" w:rsidRPr="00C07270" w:rsidRDefault="008F254D" w:rsidP="00C07270">
            <w:pPr>
              <w:numPr>
                <w:ilvl w:val="0"/>
                <w:numId w:val="16"/>
              </w:numPr>
              <w:spacing w:before="120" w:after="120"/>
              <w:rPr>
                <w:bCs/>
                <w:lang w:val="fr-CH"/>
              </w:rPr>
            </w:pPr>
            <w:r w:rsidRPr="002F6A28">
              <w:rPr>
                <w:bCs/>
              </w:rPr>
              <w:t xml:space="preserve">EFSA (European Food Safety Authority), 2019. Conclusion on the updated peer review of the pesticide risk assessment for the active substance terbuthylazine </w:t>
            </w:r>
            <w:proofErr w:type="gramStart"/>
            <w:r w:rsidRPr="002F6A28">
              <w:rPr>
                <w:bCs/>
              </w:rPr>
              <w:t>in light of</w:t>
            </w:r>
            <w:proofErr w:type="gramEnd"/>
            <w:r w:rsidRPr="002F6A28">
              <w:rPr>
                <w:bCs/>
              </w:rPr>
              <w:t xml:space="preserve"> conﬁrmatory data submitted. </w:t>
            </w:r>
            <w:r w:rsidRPr="00C07270">
              <w:rPr>
                <w:bCs/>
                <w:lang w:val="fr-CH"/>
              </w:rPr>
              <w:t xml:space="preserve">EFSA Journal </w:t>
            </w:r>
            <w:proofErr w:type="gramStart"/>
            <w:r w:rsidRPr="00C07270">
              <w:rPr>
                <w:bCs/>
                <w:lang w:val="fr-CH"/>
              </w:rPr>
              <w:t>2019;</w:t>
            </w:r>
            <w:proofErr w:type="gramEnd"/>
            <w:r w:rsidRPr="00C07270">
              <w:rPr>
                <w:bCs/>
                <w:lang w:val="fr-CH"/>
              </w:rPr>
              <w:t xml:space="preserve">17(9):5817, 21 pp. </w:t>
            </w:r>
            <w:r w:rsidR="008612AA">
              <w:fldChar w:fldCharType="begin"/>
            </w:r>
            <w:r w:rsidR="008612AA" w:rsidRPr="008612AA">
              <w:rPr>
                <w:lang w:val="fr-CH"/>
              </w:rPr>
              <w:instrText xml:space="preserve"> HYPERLINK "https://efsa.onlinelibrary.wiley.com/doi/epdf/10.2903/j.efsa.2019.5817" </w:instrText>
            </w:r>
            <w:r w:rsidR="008612AA">
              <w:fldChar w:fldCharType="separate"/>
            </w:r>
            <w:r w:rsidRPr="00C07270">
              <w:rPr>
                <w:bCs/>
                <w:color w:val="0000FF"/>
                <w:u w:val="single"/>
                <w:lang w:val="fr-CH"/>
              </w:rPr>
              <w:t>https://efsa.onlinelibrary.wiley.com/doi/epdf/10.2903/j.efsa.2019.5817c</w:t>
            </w:r>
            <w:r w:rsidR="008612AA">
              <w:rPr>
                <w:bCs/>
                <w:color w:val="0000FF"/>
                <w:u w:val="single"/>
                <w:lang w:val="fr-CH"/>
              </w:rPr>
              <w:fldChar w:fldCharType="end"/>
            </w:r>
            <w:r w:rsidRPr="00C07270">
              <w:rPr>
                <w:bCs/>
                <w:lang w:val="fr-CH"/>
              </w:rPr>
              <w:t xml:space="preserve"> </w:t>
            </w:r>
          </w:p>
        </w:tc>
      </w:tr>
      <w:tr w:rsidR="006E295F" w14:paraId="56895590" w14:textId="77777777" w:rsidTr="00AE6CC8">
        <w:trPr>
          <w:cantSplit/>
        </w:trPr>
        <w:tc>
          <w:tcPr>
            <w:tcW w:w="713" w:type="dxa"/>
            <w:tcBorders>
              <w:top w:val="single" w:sz="6" w:space="0" w:color="auto"/>
              <w:bottom w:val="single" w:sz="6" w:space="0" w:color="auto"/>
            </w:tcBorders>
            <w:shd w:val="clear" w:color="auto" w:fill="auto"/>
          </w:tcPr>
          <w:p w14:paraId="4D30CA18" w14:textId="77777777" w:rsidR="00EE3A11" w:rsidRPr="002F6A28" w:rsidRDefault="008F254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3C5E14B" w14:textId="77777777" w:rsidR="00EE3A11" w:rsidRPr="002F6A28" w:rsidRDefault="008F254D"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Second quarter 2021</w:t>
            </w:r>
            <w:bookmarkEnd w:id="32"/>
          </w:p>
          <w:p w14:paraId="3960EDA3" w14:textId="77777777" w:rsidR="00EE3A11" w:rsidRPr="002F6A28" w:rsidRDefault="008F254D"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following publication in the Official Journal of the EU </w:t>
            </w:r>
            <w:bookmarkEnd w:id="35"/>
          </w:p>
        </w:tc>
      </w:tr>
      <w:tr w:rsidR="006E295F" w14:paraId="5FB52F8F" w14:textId="77777777" w:rsidTr="0069259F">
        <w:tc>
          <w:tcPr>
            <w:tcW w:w="713" w:type="dxa"/>
            <w:tcBorders>
              <w:top w:val="single" w:sz="6" w:space="0" w:color="auto"/>
              <w:bottom w:val="single" w:sz="6" w:space="0" w:color="auto"/>
            </w:tcBorders>
            <w:shd w:val="clear" w:color="auto" w:fill="auto"/>
          </w:tcPr>
          <w:p w14:paraId="6DA45CDC" w14:textId="77777777" w:rsidR="00F85C99" w:rsidRPr="002F6A28" w:rsidRDefault="008F254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58B652C" w14:textId="77777777" w:rsidR="00F85C99" w:rsidRPr="002F6A28" w:rsidRDefault="008F254D"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6E295F" w14:paraId="2835849D" w14:textId="77777777" w:rsidTr="0069259F">
        <w:tc>
          <w:tcPr>
            <w:tcW w:w="713" w:type="dxa"/>
            <w:tcBorders>
              <w:top w:val="single" w:sz="6" w:space="0" w:color="auto"/>
            </w:tcBorders>
            <w:shd w:val="clear" w:color="auto" w:fill="auto"/>
          </w:tcPr>
          <w:p w14:paraId="44EE7457" w14:textId="77777777" w:rsidR="00F85C99" w:rsidRPr="002F6A28" w:rsidRDefault="008F254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AF1FCF5" w14:textId="77777777" w:rsidR="00F85C99" w:rsidRPr="002F6A28" w:rsidRDefault="008F254D"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0820432" w14:textId="77777777" w:rsidR="00C07270" w:rsidRDefault="008F254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t xml:space="preserve">The text is available on the EU-TBT Website: </w:t>
            </w:r>
            <w:hyperlink r:id="rId13" w:history="1">
              <w:r w:rsidRPr="002F6A28">
                <w:rPr>
                  <w:color w:val="0000FF"/>
                  <w:u w:val="single"/>
                </w:rPr>
                <w:t>http://ec.europa.eu/growth/tools-databases/tbt/en/</w:t>
              </w:r>
            </w:hyperlink>
          </w:p>
          <w:p w14:paraId="16E7A6B1" w14:textId="77777777" w:rsidR="00C07270" w:rsidRDefault="008612AA" w:rsidP="00B16145">
            <w:pPr>
              <w:keepNext/>
              <w:keepLines/>
              <w:spacing w:before="120" w:after="120"/>
              <w:jc w:val="left"/>
            </w:pPr>
            <w:hyperlink r:id="rId14" w:history="1">
              <w:r w:rsidR="008F254D" w:rsidRPr="002F6A28">
                <w:rPr>
                  <w:color w:val="0000FF"/>
                  <w:u w:val="single"/>
                </w:rPr>
                <w:t>https://members.wto.org/crnattachments/2021/TBT/EEC/21_0624_00_e.pdf</w:t>
              </w:r>
            </w:hyperlink>
          </w:p>
          <w:p w14:paraId="4FF29471" w14:textId="77777777" w:rsidR="00C07270" w:rsidRPr="002F6A28" w:rsidRDefault="008612AA" w:rsidP="00B16145">
            <w:pPr>
              <w:keepNext/>
              <w:keepLines/>
              <w:spacing w:before="120" w:after="120"/>
              <w:jc w:val="left"/>
            </w:pPr>
            <w:hyperlink r:id="rId15" w:history="1">
              <w:r w:rsidR="008F254D" w:rsidRPr="002F6A28">
                <w:rPr>
                  <w:color w:val="0000FF"/>
                  <w:u w:val="single"/>
                </w:rPr>
                <w:t>https://members.wto.org/crnattachments/2021/TBT/EEC/21_0624_01_e.pdf</w:t>
              </w:r>
            </w:hyperlink>
            <w:bookmarkEnd w:id="41"/>
          </w:p>
        </w:tc>
      </w:tr>
    </w:tbl>
    <w:p w14:paraId="282D36D4"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3AE7" w14:textId="77777777" w:rsidR="00A21729" w:rsidRDefault="008F254D">
      <w:r>
        <w:separator/>
      </w:r>
    </w:p>
  </w:endnote>
  <w:endnote w:type="continuationSeparator" w:id="0">
    <w:p w14:paraId="5F4B659E" w14:textId="77777777" w:rsidR="00A21729" w:rsidRDefault="008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5542" w14:textId="77777777" w:rsidR="009239F7" w:rsidRPr="002F6A28" w:rsidRDefault="008F254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F447" w14:textId="77777777" w:rsidR="009239F7" w:rsidRPr="002F6A28" w:rsidRDefault="008F254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3463" w14:textId="77777777" w:rsidR="00EE3A11" w:rsidRPr="002F6A28" w:rsidRDefault="008F254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3AE8" w14:textId="77777777" w:rsidR="00A21729" w:rsidRDefault="008F254D">
      <w:r>
        <w:separator/>
      </w:r>
    </w:p>
  </w:footnote>
  <w:footnote w:type="continuationSeparator" w:id="0">
    <w:p w14:paraId="537542AA" w14:textId="77777777" w:rsidR="00A21729" w:rsidRDefault="008F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F3B5" w14:textId="77777777" w:rsidR="009239F7" w:rsidRPr="002F6A28" w:rsidRDefault="008F254D" w:rsidP="009239F7">
    <w:pPr>
      <w:pStyle w:val="Header"/>
      <w:pBdr>
        <w:bottom w:val="single" w:sz="4" w:space="1" w:color="auto"/>
      </w:pBdr>
      <w:tabs>
        <w:tab w:val="clear" w:pos="4513"/>
        <w:tab w:val="clear" w:pos="9027"/>
      </w:tabs>
      <w:jc w:val="center"/>
    </w:pPr>
    <w:proofErr w:type="spellStart"/>
    <w:r w:rsidRPr="002F6A28">
      <w:t>tbtSymbol</w:t>
    </w:r>
    <w:proofErr w:type="spellEnd"/>
  </w:p>
  <w:p w14:paraId="3ACE4BAF" w14:textId="77777777" w:rsidR="009239F7" w:rsidRPr="002F6A28" w:rsidRDefault="009239F7" w:rsidP="009239F7">
    <w:pPr>
      <w:pStyle w:val="Header"/>
      <w:pBdr>
        <w:bottom w:val="single" w:sz="4" w:space="1" w:color="auto"/>
      </w:pBdr>
      <w:tabs>
        <w:tab w:val="clear" w:pos="4513"/>
        <w:tab w:val="clear" w:pos="9027"/>
      </w:tabs>
      <w:jc w:val="center"/>
    </w:pPr>
  </w:p>
  <w:p w14:paraId="173A45C1" w14:textId="77777777" w:rsidR="009239F7" w:rsidRPr="002F6A28" w:rsidRDefault="008F254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192B40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B568" w14:textId="77777777" w:rsidR="009239F7" w:rsidRPr="002F6A28" w:rsidRDefault="008F254D" w:rsidP="009239F7">
    <w:pPr>
      <w:pStyle w:val="Header"/>
      <w:pBdr>
        <w:bottom w:val="single" w:sz="4" w:space="1" w:color="auto"/>
      </w:pBdr>
      <w:tabs>
        <w:tab w:val="clear" w:pos="4513"/>
        <w:tab w:val="clear" w:pos="9027"/>
      </w:tabs>
      <w:jc w:val="center"/>
    </w:pPr>
    <w:bookmarkStart w:id="42" w:name="spsSymbolHeader"/>
    <w:r w:rsidRPr="002F6A28">
      <w:t>G/TBT/N/EU/774</w:t>
    </w:r>
    <w:bookmarkEnd w:id="42"/>
  </w:p>
  <w:p w14:paraId="202C0FE1" w14:textId="77777777" w:rsidR="009239F7" w:rsidRPr="002F6A28" w:rsidRDefault="009239F7" w:rsidP="009239F7">
    <w:pPr>
      <w:pStyle w:val="Header"/>
      <w:pBdr>
        <w:bottom w:val="single" w:sz="4" w:space="1" w:color="auto"/>
      </w:pBdr>
      <w:tabs>
        <w:tab w:val="clear" w:pos="4513"/>
        <w:tab w:val="clear" w:pos="9027"/>
      </w:tabs>
      <w:jc w:val="center"/>
    </w:pPr>
  </w:p>
  <w:p w14:paraId="5569EDF3" w14:textId="77777777" w:rsidR="009239F7" w:rsidRPr="002F6A28" w:rsidRDefault="008F254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BDA5A7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295F" w14:paraId="1DAB395F" w14:textId="77777777" w:rsidTr="008612A9">
      <w:trPr>
        <w:trHeight w:val="240"/>
        <w:jc w:val="center"/>
      </w:trPr>
      <w:tc>
        <w:tcPr>
          <w:tcW w:w="3794" w:type="dxa"/>
          <w:shd w:val="clear" w:color="auto" w:fill="FFFFFF"/>
          <w:tcMar>
            <w:left w:w="108" w:type="dxa"/>
            <w:right w:w="108" w:type="dxa"/>
          </w:tcMar>
          <w:vAlign w:val="center"/>
        </w:tcPr>
        <w:p w14:paraId="048E3AC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F716E8E" w14:textId="77777777" w:rsidR="00ED54E0" w:rsidRPr="009239F7" w:rsidRDefault="00ED54E0" w:rsidP="00B801E9">
          <w:pPr>
            <w:jc w:val="right"/>
            <w:rPr>
              <w:b/>
              <w:color w:val="FF0000"/>
              <w:szCs w:val="16"/>
            </w:rPr>
          </w:pPr>
        </w:p>
      </w:tc>
    </w:tr>
    <w:bookmarkEnd w:id="43"/>
    <w:tr w:rsidR="006E295F" w14:paraId="55B2C495" w14:textId="77777777" w:rsidTr="008612A9">
      <w:trPr>
        <w:trHeight w:val="213"/>
        <w:jc w:val="center"/>
      </w:trPr>
      <w:tc>
        <w:tcPr>
          <w:tcW w:w="3794" w:type="dxa"/>
          <w:vMerge w:val="restart"/>
          <w:shd w:val="clear" w:color="auto" w:fill="FFFFFF"/>
          <w:tcMar>
            <w:left w:w="0" w:type="dxa"/>
            <w:right w:w="0" w:type="dxa"/>
          </w:tcMar>
        </w:tcPr>
        <w:p w14:paraId="4CC4A7AF" w14:textId="77777777" w:rsidR="00ED54E0" w:rsidRPr="009239F7" w:rsidRDefault="008F254D" w:rsidP="00B801E9">
          <w:pPr>
            <w:jc w:val="left"/>
          </w:pPr>
          <w:r>
            <w:rPr>
              <w:noProof/>
              <w:lang w:eastAsia="en-GB"/>
            </w:rPr>
            <w:drawing>
              <wp:inline distT="0" distB="0" distL="0" distR="0" wp14:anchorId="5CAC3327" wp14:editId="553356A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350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61CAED" w14:textId="77777777" w:rsidR="00ED54E0" w:rsidRPr="009239F7" w:rsidRDefault="00ED54E0" w:rsidP="00B801E9">
          <w:pPr>
            <w:jc w:val="right"/>
            <w:rPr>
              <w:b/>
              <w:szCs w:val="16"/>
            </w:rPr>
          </w:pPr>
        </w:p>
      </w:tc>
    </w:tr>
    <w:tr w:rsidR="006E295F" w14:paraId="67E9E7DB" w14:textId="77777777" w:rsidTr="008612A9">
      <w:trPr>
        <w:trHeight w:val="868"/>
        <w:jc w:val="center"/>
      </w:trPr>
      <w:tc>
        <w:tcPr>
          <w:tcW w:w="3794" w:type="dxa"/>
          <w:vMerge/>
          <w:shd w:val="clear" w:color="auto" w:fill="FFFFFF"/>
          <w:tcMar>
            <w:left w:w="108" w:type="dxa"/>
            <w:right w:w="108" w:type="dxa"/>
          </w:tcMar>
        </w:tcPr>
        <w:p w14:paraId="462C63D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FFF1589" w14:textId="77777777" w:rsidR="009239F7" w:rsidRPr="002F6A28" w:rsidRDefault="008F254D" w:rsidP="00B801E9">
          <w:pPr>
            <w:jc w:val="right"/>
            <w:rPr>
              <w:b/>
              <w:szCs w:val="16"/>
            </w:rPr>
          </w:pPr>
          <w:bookmarkStart w:id="44" w:name="bmkSymbols"/>
          <w:r w:rsidRPr="002F6A28">
            <w:rPr>
              <w:b/>
              <w:szCs w:val="16"/>
            </w:rPr>
            <w:t>G/TBT/N/EU/774</w:t>
          </w:r>
          <w:bookmarkEnd w:id="44"/>
        </w:p>
      </w:tc>
    </w:tr>
    <w:tr w:rsidR="006E295F" w14:paraId="0CF15043" w14:textId="77777777" w:rsidTr="008612A9">
      <w:trPr>
        <w:trHeight w:val="240"/>
        <w:jc w:val="center"/>
      </w:trPr>
      <w:tc>
        <w:tcPr>
          <w:tcW w:w="3794" w:type="dxa"/>
          <w:vMerge/>
          <w:shd w:val="clear" w:color="auto" w:fill="FFFFFF"/>
          <w:tcMar>
            <w:left w:w="108" w:type="dxa"/>
            <w:right w:w="108" w:type="dxa"/>
          </w:tcMar>
          <w:vAlign w:val="center"/>
        </w:tcPr>
        <w:p w14:paraId="1370BA84" w14:textId="77777777" w:rsidR="00ED54E0" w:rsidRPr="009239F7" w:rsidRDefault="00ED54E0" w:rsidP="00B801E9"/>
      </w:tc>
      <w:tc>
        <w:tcPr>
          <w:tcW w:w="5448" w:type="dxa"/>
          <w:gridSpan w:val="2"/>
          <w:shd w:val="clear" w:color="auto" w:fill="FFFFFF"/>
          <w:tcMar>
            <w:left w:w="108" w:type="dxa"/>
            <w:right w:w="108" w:type="dxa"/>
          </w:tcMar>
          <w:vAlign w:val="center"/>
        </w:tcPr>
        <w:p w14:paraId="66B01A64" w14:textId="13206EE1" w:rsidR="00ED54E0" w:rsidRPr="009239F7" w:rsidRDefault="008F254D" w:rsidP="00B801E9">
          <w:pPr>
            <w:jc w:val="right"/>
            <w:rPr>
              <w:szCs w:val="16"/>
            </w:rPr>
          </w:pPr>
          <w:bookmarkStart w:id="45" w:name="spsDateDistribution"/>
          <w:bookmarkStart w:id="46" w:name="bmkDate"/>
          <w:bookmarkEnd w:id="45"/>
          <w:bookmarkEnd w:id="46"/>
          <w:r>
            <w:rPr>
              <w:szCs w:val="16"/>
            </w:rPr>
            <w:t>22 January 2021</w:t>
          </w:r>
        </w:p>
      </w:tc>
    </w:tr>
    <w:tr w:rsidR="006E295F" w14:paraId="7AE8125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A0DD54" w14:textId="2D5791F1" w:rsidR="00ED54E0" w:rsidRPr="009239F7" w:rsidRDefault="008F254D" w:rsidP="0097650D">
          <w:pPr>
            <w:jc w:val="left"/>
            <w:rPr>
              <w:b/>
            </w:rPr>
          </w:pPr>
          <w:bookmarkStart w:id="47" w:name="bmkSerial"/>
          <w:r w:rsidRPr="002F6A28">
            <w:rPr>
              <w:color w:val="FF0000"/>
              <w:szCs w:val="16"/>
            </w:rPr>
            <w:t>(</w:t>
          </w:r>
          <w:bookmarkStart w:id="48" w:name="spsSerialNumber"/>
          <w:bookmarkEnd w:id="48"/>
          <w:r>
            <w:rPr>
              <w:color w:val="FF0000"/>
              <w:szCs w:val="16"/>
            </w:rPr>
            <w:t>21-0</w:t>
          </w:r>
          <w:r w:rsidR="008612AA">
            <w:rPr>
              <w:color w:val="FF0000"/>
              <w:szCs w:val="16"/>
            </w:rPr>
            <w:t>671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657A1D3" w14:textId="77777777" w:rsidR="00ED54E0" w:rsidRPr="009239F7" w:rsidRDefault="008F254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E295F" w14:paraId="2920F50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1462A8" w14:textId="77777777" w:rsidR="00ED54E0" w:rsidRPr="009239F7" w:rsidRDefault="008F254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D1992CA" w14:textId="77777777" w:rsidR="00ED54E0" w:rsidRPr="002F6A28" w:rsidRDefault="008F254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063BB8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600EB4">
      <w:start w:val="1"/>
      <w:numFmt w:val="decimal"/>
      <w:pStyle w:val="SummaryText"/>
      <w:lvlText w:val="%1."/>
      <w:lvlJc w:val="left"/>
      <w:pPr>
        <w:ind w:left="360" w:hanging="360"/>
      </w:pPr>
    </w:lvl>
    <w:lvl w:ilvl="1" w:tplc="92623E58" w:tentative="1">
      <w:start w:val="1"/>
      <w:numFmt w:val="lowerLetter"/>
      <w:lvlText w:val="%2."/>
      <w:lvlJc w:val="left"/>
      <w:pPr>
        <w:ind w:left="1080" w:hanging="360"/>
      </w:pPr>
    </w:lvl>
    <w:lvl w:ilvl="2" w:tplc="19F05C28" w:tentative="1">
      <w:start w:val="1"/>
      <w:numFmt w:val="lowerRoman"/>
      <w:lvlText w:val="%3."/>
      <w:lvlJc w:val="right"/>
      <w:pPr>
        <w:ind w:left="1800" w:hanging="180"/>
      </w:pPr>
    </w:lvl>
    <w:lvl w:ilvl="3" w:tplc="C41ABC6E" w:tentative="1">
      <w:start w:val="1"/>
      <w:numFmt w:val="decimal"/>
      <w:lvlText w:val="%4."/>
      <w:lvlJc w:val="left"/>
      <w:pPr>
        <w:ind w:left="2520" w:hanging="360"/>
      </w:pPr>
    </w:lvl>
    <w:lvl w:ilvl="4" w:tplc="7C3C75D0" w:tentative="1">
      <w:start w:val="1"/>
      <w:numFmt w:val="lowerLetter"/>
      <w:lvlText w:val="%5."/>
      <w:lvlJc w:val="left"/>
      <w:pPr>
        <w:ind w:left="3240" w:hanging="360"/>
      </w:pPr>
    </w:lvl>
    <w:lvl w:ilvl="5" w:tplc="2200DA76" w:tentative="1">
      <w:start w:val="1"/>
      <w:numFmt w:val="lowerRoman"/>
      <w:lvlText w:val="%6."/>
      <w:lvlJc w:val="right"/>
      <w:pPr>
        <w:ind w:left="3960" w:hanging="180"/>
      </w:pPr>
    </w:lvl>
    <w:lvl w:ilvl="6" w:tplc="7A64CF70" w:tentative="1">
      <w:start w:val="1"/>
      <w:numFmt w:val="decimal"/>
      <w:lvlText w:val="%7."/>
      <w:lvlJc w:val="left"/>
      <w:pPr>
        <w:ind w:left="4680" w:hanging="360"/>
      </w:pPr>
    </w:lvl>
    <w:lvl w:ilvl="7" w:tplc="B1160630" w:tentative="1">
      <w:start w:val="1"/>
      <w:numFmt w:val="lowerLetter"/>
      <w:lvlText w:val="%8."/>
      <w:lvlJc w:val="left"/>
      <w:pPr>
        <w:ind w:left="5400" w:hanging="360"/>
      </w:pPr>
    </w:lvl>
    <w:lvl w:ilvl="8" w:tplc="D91A59F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4368AD2">
      <w:start w:val="1"/>
      <w:numFmt w:val="bullet"/>
      <w:lvlText w:val=""/>
      <w:lvlJc w:val="left"/>
      <w:pPr>
        <w:ind w:left="720" w:hanging="360"/>
      </w:pPr>
      <w:rPr>
        <w:rFonts w:ascii="Symbol" w:hAnsi="Symbol"/>
      </w:rPr>
    </w:lvl>
    <w:lvl w:ilvl="1" w:tplc="32CC2300">
      <w:start w:val="1"/>
      <w:numFmt w:val="bullet"/>
      <w:lvlText w:val="o"/>
      <w:lvlJc w:val="left"/>
      <w:pPr>
        <w:tabs>
          <w:tab w:val="num" w:pos="1440"/>
        </w:tabs>
        <w:ind w:left="1440" w:hanging="360"/>
      </w:pPr>
      <w:rPr>
        <w:rFonts w:ascii="Courier New" w:hAnsi="Courier New"/>
      </w:rPr>
    </w:lvl>
    <w:lvl w:ilvl="2" w:tplc="0A20B674">
      <w:start w:val="1"/>
      <w:numFmt w:val="bullet"/>
      <w:lvlText w:val=""/>
      <w:lvlJc w:val="left"/>
      <w:pPr>
        <w:tabs>
          <w:tab w:val="num" w:pos="2160"/>
        </w:tabs>
        <w:ind w:left="2160" w:hanging="360"/>
      </w:pPr>
      <w:rPr>
        <w:rFonts w:ascii="Wingdings" w:hAnsi="Wingdings"/>
      </w:rPr>
    </w:lvl>
    <w:lvl w:ilvl="3" w:tplc="1F42A33E">
      <w:start w:val="1"/>
      <w:numFmt w:val="bullet"/>
      <w:lvlText w:val=""/>
      <w:lvlJc w:val="left"/>
      <w:pPr>
        <w:tabs>
          <w:tab w:val="num" w:pos="2880"/>
        </w:tabs>
        <w:ind w:left="2880" w:hanging="360"/>
      </w:pPr>
      <w:rPr>
        <w:rFonts w:ascii="Symbol" w:hAnsi="Symbol"/>
      </w:rPr>
    </w:lvl>
    <w:lvl w:ilvl="4" w:tplc="14185F0E">
      <w:start w:val="1"/>
      <w:numFmt w:val="bullet"/>
      <w:lvlText w:val="o"/>
      <w:lvlJc w:val="left"/>
      <w:pPr>
        <w:tabs>
          <w:tab w:val="num" w:pos="3600"/>
        </w:tabs>
        <w:ind w:left="3600" w:hanging="360"/>
      </w:pPr>
      <w:rPr>
        <w:rFonts w:ascii="Courier New" w:hAnsi="Courier New"/>
      </w:rPr>
    </w:lvl>
    <w:lvl w:ilvl="5" w:tplc="0D0E26F8">
      <w:start w:val="1"/>
      <w:numFmt w:val="bullet"/>
      <w:lvlText w:val=""/>
      <w:lvlJc w:val="left"/>
      <w:pPr>
        <w:tabs>
          <w:tab w:val="num" w:pos="4320"/>
        </w:tabs>
        <w:ind w:left="4320" w:hanging="360"/>
      </w:pPr>
      <w:rPr>
        <w:rFonts w:ascii="Wingdings" w:hAnsi="Wingdings"/>
      </w:rPr>
    </w:lvl>
    <w:lvl w:ilvl="6" w:tplc="7E6A05DE">
      <w:start w:val="1"/>
      <w:numFmt w:val="bullet"/>
      <w:lvlText w:val=""/>
      <w:lvlJc w:val="left"/>
      <w:pPr>
        <w:tabs>
          <w:tab w:val="num" w:pos="5040"/>
        </w:tabs>
        <w:ind w:left="5040" w:hanging="360"/>
      </w:pPr>
      <w:rPr>
        <w:rFonts w:ascii="Symbol" w:hAnsi="Symbol"/>
      </w:rPr>
    </w:lvl>
    <w:lvl w:ilvl="7" w:tplc="6F069AD8">
      <w:start w:val="1"/>
      <w:numFmt w:val="bullet"/>
      <w:lvlText w:val="o"/>
      <w:lvlJc w:val="left"/>
      <w:pPr>
        <w:tabs>
          <w:tab w:val="num" w:pos="5760"/>
        </w:tabs>
        <w:ind w:left="5760" w:hanging="360"/>
      </w:pPr>
      <w:rPr>
        <w:rFonts w:ascii="Courier New" w:hAnsi="Courier New"/>
      </w:rPr>
    </w:lvl>
    <w:lvl w:ilvl="8" w:tplc="C12E79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295F"/>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629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12AA"/>
    <w:rsid w:val="00863177"/>
    <w:rsid w:val="008739FD"/>
    <w:rsid w:val="008848E9"/>
    <w:rsid w:val="008935B1"/>
    <w:rsid w:val="00893E85"/>
    <w:rsid w:val="008953C4"/>
    <w:rsid w:val="008B223A"/>
    <w:rsid w:val="008B4A10"/>
    <w:rsid w:val="008B4FB8"/>
    <w:rsid w:val="008C1339"/>
    <w:rsid w:val="008E372C"/>
    <w:rsid w:val="008E67DC"/>
    <w:rsid w:val="008F254D"/>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172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7270"/>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35"/>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PDF/?uri=CELEX:32011R0820&amp;from=EN" TargetMode="External"/><Relationship Id="rId5" Type="http://schemas.openxmlformats.org/officeDocument/2006/relationships/footnotes" Target="footnotes.xml"/><Relationship Id="rId15" Type="http://schemas.openxmlformats.org/officeDocument/2006/relationships/hyperlink" Target="https://members.wto.org/crnattachments/2021/TBT/EEC/21_0624_01_e.pdf" TargetMode="External"/><Relationship Id="rId23" Type="http://schemas.openxmlformats.org/officeDocument/2006/relationships/theme" Target="theme/theme1.xml"/><Relationship Id="rId10" Type="http://schemas.openxmlformats.org/officeDocument/2006/relationships/hyperlink" Target="https://eur-lex.europa.eu/legal-content/AUTO/?uri=CELEX:32011R0540&amp;qid=1590756246146&amp;rid=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AUTO/?uri=CELEX:32009R1107&amp;qid=1590756186915&amp;rid=1" TargetMode="External"/><Relationship Id="rId14" Type="http://schemas.openxmlformats.org/officeDocument/2006/relationships/hyperlink" Target="https://members.wto.org/crnattachments/2021/TBT/EEC/21_0624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6542</Characters>
  <Application>Microsoft Office Word</Application>
  <DocSecurity>0</DocSecurity>
  <Lines>128</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2021-01-22T12:03:00Z</dcterms:created>
  <dcterms:modified xsi:type="dcterms:W3CDTF">2021-01-22T13:40:00Z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c086f158-c9e9-45c1-bc67-4eeede6ca449</vt:lpwstr>
  </property>
  <property fmtid="{D5CDD505-2E9C-101B-9397-08002B2CF9AE}" pid="4" name="WTOCLASSIFICATION">
    <vt:lpwstr>WTO OFFICIAL</vt:lpwstr>
  </property>
</Properties>
</file>