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874B8" w:rsidP="002F6A28">
      <w:pPr>
        <w:pStyle w:val="Title"/>
        <w:rPr>
          <w:caps w:val="0"/>
          <w:kern w:val="0"/>
        </w:rPr>
      </w:pPr>
      <w:r w:rsidRPr="002F6A28">
        <w:rPr>
          <w:caps w:val="0"/>
          <w:kern w:val="0"/>
        </w:rPr>
        <w:t>NOTIFICATION</w:t>
      </w:r>
    </w:p>
    <w:p w:rsidR="009239F7" w:rsidRPr="002F6A28" w:rsidRDefault="007874B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11775" w:rsidTr="0069259F">
        <w:tc>
          <w:tcPr>
            <w:tcW w:w="713" w:type="dxa"/>
            <w:tcBorders>
              <w:bottom w:val="single" w:sz="6" w:space="0" w:color="auto"/>
            </w:tcBorders>
            <w:shd w:val="clear" w:color="auto" w:fill="auto"/>
          </w:tcPr>
          <w:p w:rsidR="00F85C99" w:rsidRPr="002F6A28" w:rsidRDefault="007874B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874B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7874B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11775" w:rsidRPr="00253786" w:rsidTr="0069259F">
        <w:tc>
          <w:tcPr>
            <w:tcW w:w="713" w:type="dxa"/>
            <w:tcBorders>
              <w:top w:val="single" w:sz="6" w:space="0" w:color="auto"/>
              <w:bottom w:val="single" w:sz="6" w:space="0" w:color="auto"/>
            </w:tcBorders>
            <w:shd w:val="clear" w:color="auto" w:fill="auto"/>
          </w:tcPr>
          <w:p w:rsidR="00F85C99" w:rsidRPr="002F6A28" w:rsidRDefault="007874B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874B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7874B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87A6D" w:rsidRPr="0052472E" w:rsidRDefault="007874B8" w:rsidP="00AA646C">
            <w:pPr>
              <w:spacing w:after="120"/>
              <w:jc w:val="left"/>
              <w:rPr>
                <w:lang w:val="fr-CH"/>
              </w:rPr>
            </w:pPr>
            <w:r w:rsidRPr="0052472E">
              <w:rPr>
                <w:lang w:val="fr-CH"/>
              </w:rPr>
              <w:t>European Commission</w:t>
            </w:r>
            <w:r w:rsidRPr="0052472E">
              <w:rPr>
                <w:lang w:val="fr-CH"/>
              </w:rPr>
              <w:br/>
              <w:t>EU-TBT Enquiry Point</w:t>
            </w:r>
            <w:r w:rsidRPr="0052472E">
              <w:rPr>
                <w:lang w:val="fr-CH"/>
              </w:rPr>
              <w:br/>
              <w:t>Fax: +(32) 2 299 80 43</w:t>
            </w:r>
            <w:r w:rsidRPr="0052472E">
              <w:rPr>
                <w:lang w:val="fr-CH"/>
              </w:rPr>
              <w:br/>
              <w:t xml:space="preserve">E-mail: </w:t>
            </w:r>
            <w:hyperlink r:id="rId7" w:history="1">
              <w:r w:rsidRPr="0052472E">
                <w:rPr>
                  <w:color w:val="0000FF"/>
                  <w:u w:val="single"/>
                  <w:lang w:val="fr-CH"/>
                </w:rPr>
                <w:t>grow-eu-tbt@ec.europa.eu</w:t>
              </w:r>
            </w:hyperlink>
            <w:r w:rsidRPr="0052472E">
              <w:rPr>
                <w:lang w:val="fr-CH"/>
              </w:rPr>
              <w:br/>
              <w:t xml:space="preserve">Website: </w:t>
            </w:r>
            <w:hyperlink r:id="rId8" w:history="1">
              <w:r w:rsidRPr="0052472E">
                <w:rPr>
                  <w:color w:val="0000FF"/>
                  <w:u w:val="single"/>
                  <w:lang w:val="fr-CH"/>
                </w:rPr>
                <w:t>http://ec.europa.eu/growth/tools-databases/tbt/en/</w:t>
              </w:r>
            </w:hyperlink>
            <w:r w:rsidRPr="0052472E">
              <w:rPr>
                <w:lang w:val="fr-CH"/>
              </w:rPr>
              <w:t xml:space="preserve"> </w:t>
            </w:r>
            <w:bookmarkEnd w:id="7"/>
          </w:p>
        </w:tc>
      </w:tr>
      <w:tr w:rsidR="00311775" w:rsidTr="0069259F">
        <w:tc>
          <w:tcPr>
            <w:tcW w:w="713" w:type="dxa"/>
            <w:tcBorders>
              <w:top w:val="single" w:sz="6" w:space="0" w:color="auto"/>
              <w:bottom w:val="single" w:sz="6" w:space="0" w:color="auto"/>
            </w:tcBorders>
            <w:shd w:val="clear" w:color="auto" w:fill="auto"/>
          </w:tcPr>
          <w:p w:rsidR="00F85C99" w:rsidRPr="002F6A28" w:rsidRDefault="007874B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874B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11775" w:rsidTr="0069259F">
        <w:tc>
          <w:tcPr>
            <w:tcW w:w="713" w:type="dxa"/>
            <w:tcBorders>
              <w:top w:val="single" w:sz="6" w:space="0" w:color="auto"/>
              <w:bottom w:val="single" w:sz="6" w:space="0" w:color="auto"/>
            </w:tcBorders>
            <w:shd w:val="clear" w:color="auto" w:fill="auto"/>
          </w:tcPr>
          <w:p w:rsidR="00F85C99" w:rsidRPr="002F6A28" w:rsidRDefault="007874B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874B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 Products of the chemical industry (ICS 71.100)</w:t>
            </w:r>
            <w:bookmarkStart w:id="20" w:name="sps3a"/>
            <w:bookmarkEnd w:id="20"/>
          </w:p>
        </w:tc>
      </w:tr>
      <w:tr w:rsidR="00311775" w:rsidTr="0069259F">
        <w:tc>
          <w:tcPr>
            <w:tcW w:w="713" w:type="dxa"/>
            <w:tcBorders>
              <w:top w:val="single" w:sz="6" w:space="0" w:color="auto"/>
              <w:bottom w:val="single" w:sz="6" w:space="0" w:color="auto"/>
            </w:tcBorders>
            <w:shd w:val="clear" w:color="auto" w:fill="auto"/>
          </w:tcPr>
          <w:p w:rsidR="00F85C99" w:rsidRPr="002F6A28" w:rsidRDefault="007874B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874B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Annex XIV to Regulation (EU) No 1907/2006 of the European Parliament and of the Council concerning the Registration, Evaluation, Authorisation and Restriction of Chemicals (REACH) (5 page(s), in English; 4 page(s), in English)</w:t>
            </w:r>
            <w:bookmarkStart w:id="22" w:name="sps5a"/>
            <w:bookmarkStart w:id="23" w:name="sps5c"/>
            <w:bookmarkStart w:id="24" w:name="sps5b"/>
            <w:bookmarkEnd w:id="22"/>
            <w:bookmarkEnd w:id="23"/>
            <w:bookmarkEnd w:id="24"/>
          </w:p>
        </w:tc>
      </w:tr>
      <w:tr w:rsidR="00311775" w:rsidTr="0069259F">
        <w:tc>
          <w:tcPr>
            <w:tcW w:w="713" w:type="dxa"/>
            <w:tcBorders>
              <w:top w:val="single" w:sz="6" w:space="0" w:color="auto"/>
              <w:bottom w:val="single" w:sz="6" w:space="0" w:color="auto"/>
            </w:tcBorders>
            <w:shd w:val="clear" w:color="auto" w:fill="auto"/>
          </w:tcPr>
          <w:p w:rsidR="00F85C99" w:rsidRPr="002F6A28" w:rsidRDefault="007874B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874B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Regulation aims at amending Annex XIV of the REACH Regulation. Annex XIV lists the substances which are subject to the authorisation requirement laid down in Title VII of the Regulation. The draft proposes to include additional properties to some existing entries in that Annex, namely:</w:t>
            </w:r>
          </w:p>
          <w:p w:rsidR="00FE448B" w:rsidRPr="00C379C8" w:rsidRDefault="007874B8" w:rsidP="002F6A28">
            <w:pPr>
              <w:spacing w:after="120"/>
            </w:pPr>
            <w:r w:rsidRPr="00C379C8">
              <w:t xml:space="preserve">− entry 4 (DEHP): to add endocrine disrupting (ED) properties for the environment; </w:t>
            </w:r>
          </w:p>
          <w:p w:rsidR="00FE448B" w:rsidRPr="00C379C8" w:rsidRDefault="007874B8" w:rsidP="002F6A28">
            <w:pPr>
              <w:spacing w:after="120"/>
            </w:pPr>
            <w:r w:rsidRPr="00C379C8">
              <w:t>− entries 4 to 7 (DEHP, BBP, DBP and DIBP): to add ED properties for human health.</w:t>
            </w:r>
          </w:p>
          <w:p w:rsidR="00FE448B" w:rsidRPr="00C379C8" w:rsidRDefault="007874B8" w:rsidP="002F6A28">
            <w:pPr>
              <w:spacing w:before="120" w:after="120"/>
            </w:pPr>
            <w:r w:rsidRPr="00C379C8">
              <w:t>Once the Regulation is adopted and enters into force, the placing on the market and the use of those substances in the EU will only be possible, after the date specified for each substance ("sunset date"), for those operators who have been granted an authorisation in accordance with Articles 60-64 of REACH, and for those who have submitted an application for authorisation before a given date ("latest application date") but a decision has not yet been adopted.</w:t>
            </w:r>
            <w:bookmarkStart w:id="26" w:name="sps6a"/>
            <w:bookmarkEnd w:id="26"/>
          </w:p>
        </w:tc>
      </w:tr>
      <w:tr w:rsidR="00311775" w:rsidTr="0069259F">
        <w:tc>
          <w:tcPr>
            <w:tcW w:w="713" w:type="dxa"/>
            <w:tcBorders>
              <w:top w:val="single" w:sz="6" w:space="0" w:color="auto"/>
              <w:bottom w:val="single" w:sz="6" w:space="0" w:color="auto"/>
            </w:tcBorders>
            <w:shd w:val="clear" w:color="auto" w:fill="auto"/>
          </w:tcPr>
          <w:p w:rsidR="00F85C99" w:rsidRPr="002F6A28" w:rsidRDefault="007874B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52472E" w:rsidRDefault="007874B8" w:rsidP="002F6A28">
            <w:pPr>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objective of this draft Regulation is to include the endocrine disrupting properties to the existing Reprotoxic ones in Annex XIV for these substances. According to Article 55 of REACH, the aim of the authorisation provisions is </w:t>
            </w:r>
            <w:r w:rsidR="00EE3A11" w:rsidRPr="00C379C8">
              <w:rPr>
                <w:i/>
                <w:iCs/>
              </w:rPr>
              <w:t xml:space="preserve">"to ensure the good functioning of the internal market while assuring that the risks from substances of very </w:t>
            </w:r>
            <w:r w:rsidR="00EE3A11" w:rsidRPr="00C379C8">
              <w:rPr>
                <w:i/>
                <w:iCs/>
              </w:rPr>
              <w:lastRenderedPageBreak/>
              <w:t>high concern are properly controlled and that these substances are progressively replaced by suitable alternative substances or technologies where these are economically and technically viable."</w:t>
            </w:r>
            <w:r w:rsidR="00EE3A11" w:rsidRPr="00C379C8">
              <w:t>In accordance with Article 56 of REACH, a manufacturer, importer or downstream user shall not place on the market and/or use a substance listed in Annex</w:t>
            </w:r>
            <w:r>
              <w:t> </w:t>
            </w:r>
            <w:r w:rsidR="00EE3A11" w:rsidRPr="00C379C8">
              <w:t>XIV of REACH after a given date ("sunset date") unless that use has been authorised or an application has been submitted before the latest application date (and a decision has not yet been taken), or the use is exempted. With the inclusion of intrinsic properties relating to hazards for the environment in the entry for DEHP in Annex XIV, the exemptions from the authorisation requirement of uses of that substance in medical devices regulated by Directives 90/385/EEC, 93/42/EEC and 98/79/EC and in food contact materials within the scope of Regulation (EC) No 1935/2004 will no longer apply. In addition, due to the inclusion of ED properties in the entries of DEHP, BBP, DBP and DIBP, the concentration limit applicable to the presence of these substances in mixtures for the purposes of the exemption set out in Article 56(6) will become 0,1% weight by weight. Finally, the exemptions from the authorisation requirement for the use of the four substances in immediate packaging will no longer apply.</w:t>
            </w:r>
          </w:p>
          <w:p w:rsidR="00F85C99" w:rsidRPr="002F6A28" w:rsidRDefault="007874B8" w:rsidP="002F6A28">
            <w:pPr>
              <w:spacing w:before="120" w:after="120"/>
              <w:rPr>
                <w:b/>
              </w:rPr>
            </w:pPr>
            <w:r w:rsidRPr="00C379C8">
              <w:t>Protection of human health or safety; Other</w:t>
            </w:r>
            <w:bookmarkStart w:id="28" w:name="sps7f"/>
            <w:bookmarkEnd w:id="28"/>
          </w:p>
        </w:tc>
      </w:tr>
      <w:tr w:rsidR="00311775" w:rsidTr="0069259F">
        <w:tc>
          <w:tcPr>
            <w:tcW w:w="713" w:type="dxa"/>
            <w:tcBorders>
              <w:top w:val="single" w:sz="6" w:space="0" w:color="auto"/>
              <w:bottom w:val="single" w:sz="6" w:space="0" w:color="auto"/>
            </w:tcBorders>
            <w:shd w:val="clear" w:color="auto" w:fill="auto"/>
          </w:tcPr>
          <w:p w:rsidR="00F85C99" w:rsidRPr="002F6A28" w:rsidRDefault="007874B8"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7874B8" w:rsidP="0052472E">
            <w:pPr>
              <w:spacing w:before="120" w:after="120"/>
            </w:pPr>
            <w:bookmarkStart w:id="29" w:name="X_TBT_Reg_8A"/>
            <w:r w:rsidRPr="002F6A28">
              <w:rPr>
                <w:b/>
              </w:rPr>
              <w:t>Relevant documents</w:t>
            </w:r>
            <w:bookmarkEnd w:id="29"/>
            <w:r w:rsidRPr="002F6A28">
              <w:rPr>
                <w:b/>
              </w:rPr>
              <w:t>:</w:t>
            </w:r>
            <w:r w:rsidR="00EE3A11" w:rsidRPr="002F6A28">
              <w:t xml:space="preserve"> </w:t>
            </w:r>
          </w:p>
          <w:p w:rsidR="0052472E" w:rsidRDefault="007874B8" w:rsidP="0052472E">
            <w:pPr>
              <w:numPr>
                <w:ilvl w:val="0"/>
                <w:numId w:val="16"/>
              </w:numPr>
              <w:spacing w:before="120" w:after="120"/>
              <w:rPr>
                <w:bCs/>
              </w:rPr>
            </w:pPr>
            <w:r w:rsidRPr="002F6A28">
              <w:rPr>
                <w:bCs/>
              </w:rPr>
              <w:t xml:space="preserve">Regulation (EC) No 1907/2006 of the European Parliament and of the Council on the Registration, Evaluation, Authorisation and Restriction of Chemicals (REACH) (OJ L 396, 30.12.2006, p. 1) </w:t>
            </w:r>
          </w:p>
          <w:p w:rsidR="00287A6D" w:rsidRPr="0052472E" w:rsidRDefault="00253786" w:rsidP="0052472E">
            <w:pPr>
              <w:spacing w:before="120" w:after="120"/>
              <w:ind w:left="720"/>
              <w:rPr>
                <w:bCs/>
              </w:rPr>
            </w:pPr>
            <w:hyperlink r:id="rId9" w:history="1">
              <w:r w:rsidR="007874B8" w:rsidRPr="0052472E">
                <w:rPr>
                  <w:rStyle w:val="Hyperlink"/>
                  <w:bCs/>
                </w:rPr>
                <w:t>https://eur-lex.europa.eu/legal-content/EN/TXT/?uri=CELEX%3A32006R1907&amp;qid=1606121951237</w:t>
              </w:r>
            </w:hyperlink>
          </w:p>
          <w:p w:rsidR="0052472E" w:rsidRDefault="007874B8" w:rsidP="0052472E">
            <w:pPr>
              <w:numPr>
                <w:ilvl w:val="0"/>
                <w:numId w:val="16"/>
              </w:numPr>
              <w:spacing w:before="120" w:after="120"/>
              <w:rPr>
                <w:bCs/>
              </w:rPr>
            </w:pPr>
            <w:r w:rsidRPr="002F6A28">
              <w:rPr>
                <w:bCs/>
              </w:rPr>
              <w:t>Regulation as last amended by Commission Regulation (EU) 2020/1149 of 3</w:t>
            </w:r>
            <w:r>
              <w:rPr>
                <w:bCs/>
              </w:rPr>
              <w:t> </w:t>
            </w:r>
            <w:r w:rsidRPr="002F6A28">
              <w:rPr>
                <w:bCs/>
              </w:rPr>
              <w:t xml:space="preserve">August 2020 amending Annex XVII to Regulation (EC) No 1907/2006 as regards diisocyanates (OJ L 252, 4.8.2020, p.24) </w:t>
            </w:r>
          </w:p>
          <w:p w:rsidR="00287A6D" w:rsidRPr="002F6A28" w:rsidRDefault="00253786" w:rsidP="0052472E">
            <w:pPr>
              <w:spacing w:before="120" w:after="120"/>
              <w:ind w:left="720"/>
              <w:rPr>
                <w:bCs/>
              </w:rPr>
            </w:pPr>
            <w:hyperlink r:id="rId10" w:history="1">
              <w:r w:rsidR="007874B8" w:rsidRPr="001B73B4">
                <w:rPr>
                  <w:rStyle w:val="Hyperlink"/>
                  <w:bCs/>
                </w:rPr>
                <w:t>https://eur-lex.europa.eu/legal-content/EN/TXT/?uri=CELEX%3A32020R1149&amp;qid=1606122051349</w:t>
              </w:r>
            </w:hyperlink>
          </w:p>
          <w:p w:rsidR="0052472E" w:rsidRDefault="007874B8" w:rsidP="0052472E">
            <w:pPr>
              <w:numPr>
                <w:ilvl w:val="0"/>
                <w:numId w:val="16"/>
              </w:numPr>
              <w:spacing w:before="120" w:after="120"/>
              <w:rPr>
                <w:bCs/>
              </w:rPr>
            </w:pPr>
            <w:r w:rsidRPr="002F6A28">
              <w:rPr>
                <w:bCs/>
              </w:rPr>
              <w:t xml:space="preserve">Council Directive 90/385/EEC of 20 June 1990 on the approximation of the laws of the Member States relating to active implantable medical devices (OJ L 189, 20.7.1990, p. 17). </w:t>
            </w:r>
          </w:p>
          <w:p w:rsidR="00287A6D" w:rsidRPr="002F6A28" w:rsidRDefault="00253786" w:rsidP="0052472E">
            <w:pPr>
              <w:spacing w:before="120" w:after="120"/>
              <w:ind w:left="720"/>
              <w:rPr>
                <w:bCs/>
              </w:rPr>
            </w:pPr>
            <w:hyperlink r:id="rId11" w:history="1">
              <w:r w:rsidR="007874B8" w:rsidRPr="001B73B4">
                <w:rPr>
                  <w:rStyle w:val="Hyperlink"/>
                  <w:bCs/>
                </w:rPr>
                <w:t>https://eur-lex.europa.eu/legal-content/EN/TXT/?uri=CELEX%3A31990L0385&amp;qid=1606122296839</w:t>
              </w:r>
            </w:hyperlink>
          </w:p>
          <w:p w:rsidR="0052472E" w:rsidRDefault="007874B8" w:rsidP="0052472E">
            <w:pPr>
              <w:numPr>
                <w:ilvl w:val="0"/>
                <w:numId w:val="16"/>
              </w:numPr>
              <w:spacing w:before="120" w:after="120"/>
              <w:rPr>
                <w:bCs/>
              </w:rPr>
            </w:pPr>
            <w:r w:rsidRPr="002F6A28">
              <w:rPr>
                <w:bCs/>
              </w:rPr>
              <w:t>Council Directive 93/42/EEC of 14 June 1993 concerning medical devices (OJ L</w:t>
            </w:r>
            <w:r>
              <w:rPr>
                <w:bCs/>
              </w:rPr>
              <w:t> </w:t>
            </w:r>
            <w:r w:rsidRPr="002F6A28">
              <w:rPr>
                <w:bCs/>
              </w:rPr>
              <w:t xml:space="preserve">169, 12.7.1993, p. 1). </w:t>
            </w:r>
          </w:p>
          <w:p w:rsidR="00287A6D" w:rsidRPr="002F6A28" w:rsidRDefault="00253786" w:rsidP="0052472E">
            <w:pPr>
              <w:spacing w:before="120" w:after="120"/>
              <w:ind w:left="720"/>
              <w:rPr>
                <w:bCs/>
              </w:rPr>
            </w:pPr>
            <w:hyperlink r:id="rId12" w:history="1">
              <w:r w:rsidR="007874B8" w:rsidRPr="001B73B4">
                <w:rPr>
                  <w:rStyle w:val="Hyperlink"/>
                  <w:bCs/>
                </w:rPr>
                <w:t>https://eur-lex.europa.eu/legal-content/EN/TXT/?uri=CELEX%3A31993L0042&amp;qid=1606122367928</w:t>
              </w:r>
            </w:hyperlink>
          </w:p>
          <w:p w:rsidR="0052472E" w:rsidRDefault="007874B8" w:rsidP="0052472E">
            <w:pPr>
              <w:numPr>
                <w:ilvl w:val="0"/>
                <w:numId w:val="16"/>
              </w:numPr>
              <w:spacing w:before="120" w:after="120"/>
              <w:rPr>
                <w:bCs/>
              </w:rPr>
            </w:pPr>
            <w:r w:rsidRPr="002F6A28">
              <w:rPr>
                <w:bCs/>
              </w:rPr>
              <w:t xml:space="preserve">Directive 98/79/EC of the European Parliament and of the Council of 27 October 1998 on in vitro diagnostic medical devices (OJ L 331, 7.12.1998, p. 1). </w:t>
            </w:r>
          </w:p>
          <w:p w:rsidR="00287A6D" w:rsidRPr="0052472E" w:rsidRDefault="00253786" w:rsidP="0052472E">
            <w:pPr>
              <w:spacing w:before="120" w:after="120"/>
              <w:ind w:left="720"/>
              <w:rPr>
                <w:bCs/>
              </w:rPr>
            </w:pPr>
            <w:hyperlink r:id="rId13" w:history="1">
              <w:r w:rsidR="007874B8" w:rsidRPr="0052472E">
                <w:rPr>
                  <w:rStyle w:val="Hyperlink"/>
                  <w:bCs/>
                </w:rPr>
                <w:t>https://eur-lex.europa.eu/legal-content/EN/TXT/?uri=CELEX%3A31998L0079&amp;qid=1606122402458</w:t>
              </w:r>
            </w:hyperlink>
          </w:p>
          <w:p w:rsidR="0052472E" w:rsidRDefault="007874B8" w:rsidP="0052472E">
            <w:pPr>
              <w:numPr>
                <w:ilvl w:val="0"/>
                <w:numId w:val="16"/>
              </w:numPr>
              <w:spacing w:before="120" w:after="120"/>
              <w:rPr>
                <w:bCs/>
              </w:rPr>
            </w:pPr>
            <w:r w:rsidRPr="002F6A28">
              <w:rPr>
                <w:bCs/>
              </w:rPr>
              <w:t xml:space="preserve">Regulation (EC) No 1935/2004 of the European Parliament and of the Council of 27 October 2004 on materials and articles intended to come into contact with food and repealing Directives 80/590/EEC and 89/109/EEC, (OJ L 338, 13.11.2004, p. 4). </w:t>
            </w:r>
          </w:p>
          <w:p w:rsidR="00287A6D" w:rsidRPr="002F6A28" w:rsidRDefault="00253786" w:rsidP="0052472E">
            <w:pPr>
              <w:spacing w:before="120" w:after="120"/>
              <w:ind w:left="720"/>
              <w:rPr>
                <w:bCs/>
              </w:rPr>
            </w:pPr>
            <w:hyperlink r:id="rId14" w:history="1">
              <w:r w:rsidR="007874B8" w:rsidRPr="001B73B4">
                <w:rPr>
                  <w:rStyle w:val="Hyperlink"/>
                  <w:bCs/>
                </w:rPr>
                <w:t>https://eur-lex.europa.eu/legal-content/EN/TXT/?uri=CELEX%3A32004R1935&amp;qid=1606122440374</w:t>
              </w:r>
            </w:hyperlink>
          </w:p>
        </w:tc>
      </w:tr>
      <w:tr w:rsidR="00311775" w:rsidTr="00AE6CC8">
        <w:trPr>
          <w:cantSplit/>
        </w:trPr>
        <w:tc>
          <w:tcPr>
            <w:tcW w:w="713" w:type="dxa"/>
            <w:tcBorders>
              <w:top w:val="single" w:sz="6" w:space="0" w:color="auto"/>
              <w:bottom w:val="single" w:sz="6" w:space="0" w:color="auto"/>
            </w:tcBorders>
            <w:shd w:val="clear" w:color="auto" w:fill="auto"/>
          </w:tcPr>
          <w:p w:rsidR="00EE3A11" w:rsidRPr="002F6A28" w:rsidRDefault="007874B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874B8"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February 2021</w:t>
            </w:r>
            <w:bookmarkEnd w:id="32"/>
          </w:p>
          <w:p w:rsidR="00EE3A11" w:rsidRPr="002F6A28" w:rsidRDefault="007874B8"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after publication in the Official Journal of the European Union </w:t>
            </w:r>
            <w:bookmarkEnd w:id="35"/>
          </w:p>
        </w:tc>
      </w:tr>
      <w:tr w:rsidR="00311775" w:rsidTr="0069259F">
        <w:tc>
          <w:tcPr>
            <w:tcW w:w="713" w:type="dxa"/>
            <w:tcBorders>
              <w:top w:val="single" w:sz="6" w:space="0" w:color="auto"/>
              <w:bottom w:val="single" w:sz="6" w:space="0" w:color="auto"/>
            </w:tcBorders>
            <w:shd w:val="clear" w:color="auto" w:fill="auto"/>
          </w:tcPr>
          <w:p w:rsidR="00F85C99" w:rsidRPr="002F6A28" w:rsidRDefault="007874B8"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874B8"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311775" w:rsidTr="0069259F">
        <w:tc>
          <w:tcPr>
            <w:tcW w:w="713" w:type="dxa"/>
            <w:tcBorders>
              <w:top w:val="single" w:sz="6" w:space="0" w:color="auto"/>
            </w:tcBorders>
            <w:shd w:val="clear" w:color="auto" w:fill="auto"/>
          </w:tcPr>
          <w:p w:rsidR="00F85C99" w:rsidRPr="002F6A28" w:rsidRDefault="007874B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874B8"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52472E" w:rsidRDefault="007874B8"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5" w:history="1">
              <w:r w:rsidRPr="002F6A28">
                <w:rPr>
                  <w:color w:val="0000FF"/>
                  <w:u w:val="single"/>
                </w:rPr>
                <w:t>grow-eu-tbt@ec.europa.eu</w:t>
              </w:r>
            </w:hyperlink>
            <w:r w:rsidRPr="002F6A28">
              <w:br/>
              <w:t xml:space="preserve">The text is available on the EU-TBT Website: </w:t>
            </w:r>
            <w:hyperlink r:id="rId16" w:history="1">
              <w:r w:rsidRPr="002F6A28">
                <w:rPr>
                  <w:color w:val="0000FF"/>
                  <w:u w:val="single"/>
                </w:rPr>
                <w:t>http://ec.europa.eu/growth/tools-databases/tbt/en/</w:t>
              </w:r>
            </w:hyperlink>
          </w:p>
          <w:p w:rsidR="0052472E" w:rsidRDefault="00253786" w:rsidP="00B16145">
            <w:pPr>
              <w:keepNext/>
              <w:keepLines/>
              <w:spacing w:before="120" w:after="120"/>
              <w:jc w:val="left"/>
            </w:pPr>
            <w:hyperlink r:id="rId17" w:history="1">
              <w:r w:rsidR="007874B8" w:rsidRPr="002F6A28">
                <w:rPr>
                  <w:color w:val="0000FF"/>
                  <w:u w:val="single"/>
                </w:rPr>
                <w:t>https://members.wto.org/crnattachments/2020/TBT/EEC/20_7250_00_e.pdf</w:t>
              </w:r>
            </w:hyperlink>
          </w:p>
          <w:p w:rsidR="00287A6D" w:rsidRPr="002F6A28" w:rsidRDefault="00253786" w:rsidP="00B16145">
            <w:pPr>
              <w:keepNext/>
              <w:keepLines/>
              <w:spacing w:before="120" w:after="120"/>
              <w:jc w:val="left"/>
            </w:pPr>
            <w:hyperlink r:id="rId18" w:history="1">
              <w:r w:rsidR="007874B8" w:rsidRPr="002F6A28">
                <w:rPr>
                  <w:color w:val="0000FF"/>
                  <w:u w:val="single"/>
                </w:rPr>
                <w:t>https://members.wto.org/crnattachments/2020/TBT/EEC/20_7250_01_e.pdf</w:t>
              </w:r>
            </w:hyperlink>
            <w:bookmarkEnd w:id="41"/>
          </w:p>
        </w:tc>
      </w:tr>
    </w:tbl>
    <w:p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A5" w:rsidRDefault="007874B8">
      <w:r>
        <w:separator/>
      </w:r>
    </w:p>
  </w:endnote>
  <w:endnote w:type="continuationSeparator" w:id="0">
    <w:p w:rsidR="00833DA5" w:rsidRDefault="0078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74B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74B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874B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A5" w:rsidRDefault="007874B8">
      <w:r>
        <w:separator/>
      </w:r>
    </w:p>
  </w:footnote>
  <w:footnote w:type="continuationSeparator" w:id="0">
    <w:p w:rsidR="00833DA5" w:rsidRDefault="0078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74B8"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874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874B8" w:rsidP="009239F7">
    <w:pPr>
      <w:pStyle w:val="Header"/>
      <w:pBdr>
        <w:bottom w:val="single" w:sz="4" w:space="1" w:color="auto"/>
      </w:pBdr>
      <w:tabs>
        <w:tab w:val="clear" w:pos="4513"/>
        <w:tab w:val="clear" w:pos="9027"/>
      </w:tabs>
      <w:jc w:val="center"/>
    </w:pPr>
    <w:bookmarkStart w:id="42" w:name="spsSymbolHeader"/>
    <w:r w:rsidRPr="002F6A28">
      <w:t>G/TBT/N/EU/760</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874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177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311775" w:rsidTr="008612A9">
      <w:trPr>
        <w:trHeight w:val="213"/>
        <w:jc w:val="center"/>
      </w:trPr>
      <w:tc>
        <w:tcPr>
          <w:tcW w:w="3794" w:type="dxa"/>
          <w:vMerge w:val="restart"/>
          <w:shd w:val="clear" w:color="auto" w:fill="FFFFFF"/>
          <w:tcMar>
            <w:left w:w="0" w:type="dxa"/>
            <w:right w:w="0" w:type="dxa"/>
          </w:tcMar>
        </w:tcPr>
        <w:p w:rsidR="00ED54E0" w:rsidRPr="009239F7" w:rsidRDefault="007874B8"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4965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1177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874B8" w:rsidP="00B801E9">
          <w:pPr>
            <w:jc w:val="right"/>
            <w:rPr>
              <w:b/>
              <w:szCs w:val="16"/>
            </w:rPr>
          </w:pPr>
          <w:bookmarkStart w:id="44" w:name="bmkSymbols"/>
          <w:r w:rsidRPr="002F6A28">
            <w:rPr>
              <w:b/>
              <w:szCs w:val="16"/>
            </w:rPr>
            <w:t>G/TBT/N/EU/760</w:t>
          </w:r>
          <w:bookmarkEnd w:id="44"/>
        </w:p>
      </w:tc>
    </w:tr>
    <w:tr w:rsidR="0031177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874B8" w:rsidP="00B801E9">
          <w:pPr>
            <w:jc w:val="right"/>
            <w:rPr>
              <w:szCs w:val="16"/>
            </w:rPr>
          </w:pPr>
          <w:bookmarkStart w:id="45" w:name="spsDateDistribution"/>
          <w:bookmarkStart w:id="46" w:name="bmkDate"/>
          <w:bookmarkEnd w:id="45"/>
          <w:bookmarkEnd w:id="46"/>
          <w:r>
            <w:rPr>
              <w:szCs w:val="16"/>
            </w:rPr>
            <w:t>24 November 2020</w:t>
          </w:r>
        </w:p>
      </w:tc>
    </w:tr>
    <w:tr w:rsidR="0031177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874B8"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253786">
            <w:rPr>
              <w:color w:val="FF0000"/>
              <w:szCs w:val="16"/>
            </w:rPr>
            <w:t>8484</w:t>
          </w:r>
          <w:bookmarkStart w:id="49" w:name="_GoBack"/>
          <w:bookmarkEnd w:id="49"/>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7874B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1177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74B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7874B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E6AE3E">
      <w:start w:val="1"/>
      <w:numFmt w:val="decimal"/>
      <w:pStyle w:val="SummaryText"/>
      <w:lvlText w:val="%1."/>
      <w:lvlJc w:val="left"/>
      <w:pPr>
        <w:ind w:left="360" w:hanging="360"/>
      </w:pPr>
    </w:lvl>
    <w:lvl w:ilvl="1" w:tplc="F25C4738" w:tentative="1">
      <w:start w:val="1"/>
      <w:numFmt w:val="lowerLetter"/>
      <w:lvlText w:val="%2."/>
      <w:lvlJc w:val="left"/>
      <w:pPr>
        <w:ind w:left="1080" w:hanging="360"/>
      </w:pPr>
    </w:lvl>
    <w:lvl w:ilvl="2" w:tplc="8F3EE1CE" w:tentative="1">
      <w:start w:val="1"/>
      <w:numFmt w:val="lowerRoman"/>
      <w:lvlText w:val="%3."/>
      <w:lvlJc w:val="right"/>
      <w:pPr>
        <w:ind w:left="1800" w:hanging="180"/>
      </w:pPr>
    </w:lvl>
    <w:lvl w:ilvl="3" w:tplc="4990691A" w:tentative="1">
      <w:start w:val="1"/>
      <w:numFmt w:val="decimal"/>
      <w:lvlText w:val="%4."/>
      <w:lvlJc w:val="left"/>
      <w:pPr>
        <w:ind w:left="2520" w:hanging="360"/>
      </w:pPr>
    </w:lvl>
    <w:lvl w:ilvl="4" w:tplc="815E6914" w:tentative="1">
      <w:start w:val="1"/>
      <w:numFmt w:val="lowerLetter"/>
      <w:lvlText w:val="%5."/>
      <w:lvlJc w:val="left"/>
      <w:pPr>
        <w:ind w:left="3240" w:hanging="360"/>
      </w:pPr>
    </w:lvl>
    <w:lvl w:ilvl="5" w:tplc="A4B07B4C" w:tentative="1">
      <w:start w:val="1"/>
      <w:numFmt w:val="lowerRoman"/>
      <w:lvlText w:val="%6."/>
      <w:lvlJc w:val="right"/>
      <w:pPr>
        <w:ind w:left="3960" w:hanging="180"/>
      </w:pPr>
    </w:lvl>
    <w:lvl w:ilvl="6" w:tplc="7054C138" w:tentative="1">
      <w:start w:val="1"/>
      <w:numFmt w:val="decimal"/>
      <w:lvlText w:val="%7."/>
      <w:lvlJc w:val="left"/>
      <w:pPr>
        <w:ind w:left="4680" w:hanging="360"/>
      </w:pPr>
    </w:lvl>
    <w:lvl w:ilvl="7" w:tplc="2490ED3E" w:tentative="1">
      <w:start w:val="1"/>
      <w:numFmt w:val="lowerLetter"/>
      <w:lvlText w:val="%8."/>
      <w:lvlJc w:val="left"/>
      <w:pPr>
        <w:ind w:left="5400" w:hanging="360"/>
      </w:pPr>
    </w:lvl>
    <w:lvl w:ilvl="8" w:tplc="E0C81A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E1038BC">
      <w:start w:val="1"/>
      <w:numFmt w:val="bullet"/>
      <w:lvlText w:val=""/>
      <w:lvlJc w:val="left"/>
      <w:pPr>
        <w:ind w:left="720" w:hanging="360"/>
      </w:pPr>
      <w:rPr>
        <w:rFonts w:ascii="Symbol" w:hAnsi="Symbol"/>
      </w:rPr>
    </w:lvl>
    <w:lvl w:ilvl="1" w:tplc="E5720C1E">
      <w:start w:val="1"/>
      <w:numFmt w:val="bullet"/>
      <w:lvlText w:val="o"/>
      <w:lvlJc w:val="left"/>
      <w:pPr>
        <w:tabs>
          <w:tab w:val="num" w:pos="1440"/>
        </w:tabs>
        <w:ind w:left="1440" w:hanging="360"/>
      </w:pPr>
      <w:rPr>
        <w:rFonts w:ascii="Courier New" w:hAnsi="Courier New"/>
      </w:rPr>
    </w:lvl>
    <w:lvl w:ilvl="2" w:tplc="42BA640C">
      <w:start w:val="1"/>
      <w:numFmt w:val="bullet"/>
      <w:lvlText w:val=""/>
      <w:lvlJc w:val="left"/>
      <w:pPr>
        <w:tabs>
          <w:tab w:val="num" w:pos="2160"/>
        </w:tabs>
        <w:ind w:left="2160" w:hanging="360"/>
      </w:pPr>
      <w:rPr>
        <w:rFonts w:ascii="Wingdings" w:hAnsi="Wingdings"/>
      </w:rPr>
    </w:lvl>
    <w:lvl w:ilvl="3" w:tplc="90581114">
      <w:start w:val="1"/>
      <w:numFmt w:val="bullet"/>
      <w:lvlText w:val=""/>
      <w:lvlJc w:val="left"/>
      <w:pPr>
        <w:tabs>
          <w:tab w:val="num" w:pos="2880"/>
        </w:tabs>
        <w:ind w:left="2880" w:hanging="360"/>
      </w:pPr>
      <w:rPr>
        <w:rFonts w:ascii="Symbol" w:hAnsi="Symbol"/>
      </w:rPr>
    </w:lvl>
    <w:lvl w:ilvl="4" w:tplc="824C2BF0">
      <w:start w:val="1"/>
      <w:numFmt w:val="bullet"/>
      <w:lvlText w:val="o"/>
      <w:lvlJc w:val="left"/>
      <w:pPr>
        <w:tabs>
          <w:tab w:val="num" w:pos="3600"/>
        </w:tabs>
        <w:ind w:left="3600" w:hanging="360"/>
      </w:pPr>
      <w:rPr>
        <w:rFonts w:ascii="Courier New" w:hAnsi="Courier New"/>
      </w:rPr>
    </w:lvl>
    <w:lvl w:ilvl="5" w:tplc="17E03F0A">
      <w:start w:val="1"/>
      <w:numFmt w:val="bullet"/>
      <w:lvlText w:val=""/>
      <w:lvlJc w:val="left"/>
      <w:pPr>
        <w:tabs>
          <w:tab w:val="num" w:pos="4320"/>
        </w:tabs>
        <w:ind w:left="4320" w:hanging="360"/>
      </w:pPr>
      <w:rPr>
        <w:rFonts w:ascii="Wingdings" w:hAnsi="Wingdings"/>
      </w:rPr>
    </w:lvl>
    <w:lvl w:ilvl="6" w:tplc="F5FC52F6">
      <w:start w:val="1"/>
      <w:numFmt w:val="bullet"/>
      <w:lvlText w:val=""/>
      <w:lvlJc w:val="left"/>
      <w:pPr>
        <w:tabs>
          <w:tab w:val="num" w:pos="5040"/>
        </w:tabs>
        <w:ind w:left="5040" w:hanging="360"/>
      </w:pPr>
      <w:rPr>
        <w:rFonts w:ascii="Symbol" w:hAnsi="Symbol"/>
      </w:rPr>
    </w:lvl>
    <w:lvl w:ilvl="7" w:tplc="3564A230">
      <w:start w:val="1"/>
      <w:numFmt w:val="bullet"/>
      <w:lvlText w:val="o"/>
      <w:lvlJc w:val="left"/>
      <w:pPr>
        <w:tabs>
          <w:tab w:val="num" w:pos="5760"/>
        </w:tabs>
        <w:ind w:left="5760" w:hanging="360"/>
      </w:pPr>
      <w:rPr>
        <w:rFonts w:ascii="Courier New" w:hAnsi="Courier New"/>
      </w:rPr>
    </w:lvl>
    <w:lvl w:ilvl="8" w:tplc="77FA55B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73B4"/>
    <w:rsid w:val="001E291F"/>
    <w:rsid w:val="00204CC3"/>
    <w:rsid w:val="00233408"/>
    <w:rsid w:val="00253786"/>
    <w:rsid w:val="00267723"/>
    <w:rsid w:val="00270637"/>
    <w:rsid w:val="0027067B"/>
    <w:rsid w:val="00287A6D"/>
    <w:rsid w:val="002D21E3"/>
    <w:rsid w:val="002E174F"/>
    <w:rsid w:val="002F6A28"/>
    <w:rsid w:val="00303D9D"/>
    <w:rsid w:val="00304AAE"/>
    <w:rsid w:val="00311775"/>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472E"/>
    <w:rsid w:val="005336B8"/>
    <w:rsid w:val="00533DC1"/>
    <w:rsid w:val="0054317D"/>
    <w:rsid w:val="00545ACF"/>
    <w:rsid w:val="00547B5F"/>
    <w:rsid w:val="00564605"/>
    <w:rsid w:val="00580F04"/>
    <w:rsid w:val="00581CC5"/>
    <w:rsid w:val="0058336F"/>
    <w:rsid w:val="00590EAF"/>
    <w:rsid w:val="00592AFD"/>
    <w:rsid w:val="00592B84"/>
    <w:rsid w:val="005B04B9"/>
    <w:rsid w:val="005B21E9"/>
    <w:rsid w:val="005B68C7"/>
    <w:rsid w:val="005B7054"/>
    <w:rsid w:val="005C5BA4"/>
    <w:rsid w:val="005D5981"/>
    <w:rsid w:val="005F30CB"/>
    <w:rsid w:val="005F6444"/>
    <w:rsid w:val="00612644"/>
    <w:rsid w:val="00623F9F"/>
    <w:rsid w:val="00641B1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74B8"/>
    <w:rsid w:val="007B4DE8"/>
    <w:rsid w:val="007D20BB"/>
    <w:rsid w:val="007E1308"/>
    <w:rsid w:val="007E6507"/>
    <w:rsid w:val="007F2B8E"/>
    <w:rsid w:val="008055FB"/>
    <w:rsid w:val="00807247"/>
    <w:rsid w:val="00812D1D"/>
    <w:rsid w:val="008159AC"/>
    <w:rsid w:val="00832EE1"/>
    <w:rsid w:val="00833DA5"/>
    <w:rsid w:val="008378EF"/>
    <w:rsid w:val="00840C2B"/>
    <w:rsid w:val="00860955"/>
    <w:rsid w:val="008612A9"/>
    <w:rsid w:val="00863177"/>
    <w:rsid w:val="008739FD"/>
    <w:rsid w:val="008821A5"/>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52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eur-lex.europa.eu/legal-content/EN/TXT/?uri=CELEX%3A31998L0079&amp;qid=1606122402458" TargetMode="External"/><Relationship Id="rId18" Type="http://schemas.openxmlformats.org/officeDocument/2006/relationships/hyperlink" Target="https://members.wto.org/crnattachments/2020/TBT/EEC/20_7250_01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row-eu-tbt@ec.europa.eu" TargetMode="External"/><Relationship Id="rId12" Type="http://schemas.openxmlformats.org/officeDocument/2006/relationships/hyperlink" Target="https://eur-lex.europa.eu/legal-content/EN/TXT/?uri=CELEX%3A31993L0042&amp;qid=1606122367928" TargetMode="External"/><Relationship Id="rId17" Type="http://schemas.openxmlformats.org/officeDocument/2006/relationships/hyperlink" Target="https://members.wto.org/crnattachments/2020/TBT/EEC/20_7250_00_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1990L0385&amp;qid=1606122296839"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header" Target="header3.xml"/><Relationship Id="rId10" Type="http://schemas.openxmlformats.org/officeDocument/2006/relationships/hyperlink" Target="https://eur-lex.europa.eu/legal-content/EN/TXT/?uri=CELEX%3A32020R1149&amp;qid=160612205134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EN/TXT/?uri=CELEX%3A32006R1907&amp;qid=1606121951237" TargetMode="External"/><Relationship Id="rId14" Type="http://schemas.openxmlformats.org/officeDocument/2006/relationships/hyperlink" Target="https://eur-lex.europa.eu/legal-content/EN/TXT/?uri=CELEX%3A32004R1935&amp;qid=1606122440374"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2020-11-24T09:15:00Z</dcterms:created>
  <dcterms:modified xsi:type="dcterms:W3CDTF">2020-11-24T11:24:00Z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68d74086-21de-46f7-b5fb-d4f5cb45617e</vt:lpwstr>
  </property>
  <property fmtid="{D5CDD505-2E9C-101B-9397-08002B2CF9AE}" pid="4" name="WTOCLASSIFICATION">
    <vt:lpwstr>WTO OFFICIAL</vt:lpwstr>
  </property>
</Properties>
</file>