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537FB" w:rsidP="002F6A28">
      <w:pPr>
        <w:pStyle w:val="Title"/>
        <w:rPr>
          <w:caps w:val="0"/>
          <w:kern w:val="0"/>
        </w:rPr>
      </w:pPr>
      <w:r w:rsidRPr="002F6A28">
        <w:rPr>
          <w:caps w:val="0"/>
          <w:kern w:val="0"/>
        </w:rPr>
        <w:t>NOTIFICATION</w:t>
      </w:r>
    </w:p>
    <w:p w:rsidR="009239F7" w:rsidRPr="002F6A28" w:rsidRDefault="008537F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03EC5" w:rsidTr="0069259F">
        <w:tc>
          <w:tcPr>
            <w:tcW w:w="713" w:type="dxa"/>
            <w:tcBorders>
              <w:bottom w:val="single" w:sz="6" w:space="0" w:color="auto"/>
            </w:tcBorders>
            <w:shd w:val="clear" w:color="auto" w:fill="auto"/>
          </w:tcPr>
          <w:p w:rsidR="00F85C99" w:rsidRPr="002F6A28" w:rsidRDefault="008537F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537F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8537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537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8537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EC7424" w:rsidRPr="00982D06" w:rsidRDefault="008537FB" w:rsidP="00AA646C">
            <w:pPr>
              <w:spacing w:after="120"/>
              <w:jc w:val="left"/>
              <w:rPr>
                <w:lang w:val="fr-CH"/>
              </w:rPr>
            </w:pPr>
            <w:r w:rsidRPr="00982D06">
              <w:rPr>
                <w:lang w:val="fr-CH"/>
              </w:rPr>
              <w:t>European Commission</w:t>
            </w:r>
            <w:r w:rsidRPr="00982D06">
              <w:rPr>
                <w:lang w:val="fr-CH"/>
              </w:rPr>
              <w:br/>
              <w:t>EU-TBT Enquiry Point</w:t>
            </w:r>
            <w:r w:rsidRPr="00982D06">
              <w:rPr>
                <w:lang w:val="fr-CH"/>
              </w:rPr>
              <w:br/>
              <w:t>Fax: +(32) 2 299 80 43</w:t>
            </w:r>
            <w:r w:rsidRPr="00982D06">
              <w:rPr>
                <w:lang w:val="fr-CH"/>
              </w:rPr>
              <w:br/>
              <w:t xml:space="preserve">E-mail: </w:t>
            </w:r>
            <w:hyperlink r:id="rId7" w:history="1">
              <w:r w:rsidRPr="00982D06">
                <w:rPr>
                  <w:color w:val="0000FF"/>
                  <w:u w:val="single"/>
                  <w:lang w:val="fr-CH"/>
                </w:rPr>
                <w:t>grow-eu-tbt@ec.europa.eu</w:t>
              </w:r>
            </w:hyperlink>
            <w:r w:rsidRPr="00982D06">
              <w:rPr>
                <w:lang w:val="fr-CH"/>
              </w:rPr>
              <w:br/>
              <w:t xml:space="preserve">Website: </w:t>
            </w:r>
            <w:hyperlink r:id="rId8" w:history="1">
              <w:r w:rsidRPr="00982D06">
                <w:rPr>
                  <w:color w:val="0000FF"/>
                  <w:u w:val="single"/>
                  <w:lang w:val="fr-CH"/>
                </w:rPr>
                <w:t>http://ec.europa.eu/growth/tools-databases/tbt/en/</w:t>
              </w:r>
            </w:hyperlink>
            <w:bookmarkEnd w:id="7"/>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537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537F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N,N-dimethylformamide; Products of the chemical industry (ICS 71.100)</w:t>
            </w:r>
            <w:bookmarkStart w:id="20" w:name="sps3a"/>
            <w:bookmarkEnd w:id="20"/>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537F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XVII to Regulation (EC) No 1907/2006 of the European Parliament and of the Council concerning the Registration, Evaluation, Authorisation and Restriction of Chemicals (REACH) as regards N,N-dimethylformamide (4 page(s), in English; 2 page(s), in English)</w:t>
            </w:r>
            <w:bookmarkStart w:id="22" w:name="sps5a"/>
            <w:bookmarkStart w:id="23" w:name="sps5c"/>
            <w:bookmarkStart w:id="24" w:name="sps5b"/>
            <w:bookmarkEnd w:id="22"/>
            <w:bookmarkEnd w:id="23"/>
            <w:bookmarkEnd w:id="24"/>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537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Regulation relates to a new entry of Annex XVII to Regulation (EC) No 1907/2006.</w:t>
            </w:r>
          </w:p>
          <w:p w:rsidR="00FE448B" w:rsidRPr="00C379C8" w:rsidRDefault="008537FB" w:rsidP="002F6A28">
            <w:pPr>
              <w:spacing w:after="120"/>
            </w:pPr>
            <w:r w:rsidRPr="00C379C8">
              <w:t xml:space="preserve">The draft Commission Regulation proposes a restriction for placing </w:t>
            </w:r>
            <w:r w:rsidRPr="00C379C8">
              <w:rPr>
                <w:i/>
                <w:iCs/>
              </w:rPr>
              <w:t>N,N</w:t>
            </w:r>
            <w:r w:rsidRPr="00C379C8">
              <w:t xml:space="preserve">-dimethylformamide (DMF) on the market in concentrations higher than 0.3%, unless the registration dossiers and the safety data sheet are updated with the new Derived No-Effect Level (DNEL) values, and manufacturers and downstream users ensure the protection of workers by keeping their exposure below those values. </w:t>
            </w:r>
          </w:p>
          <w:p w:rsidR="00FE448B" w:rsidRPr="00C379C8" w:rsidRDefault="008537FB" w:rsidP="002F6A28">
            <w:pPr>
              <w:spacing w:after="120"/>
            </w:pPr>
            <w:r w:rsidRPr="00C379C8">
              <w:t>Application of the restriction is deferred for 2 years for all industrial sectors.</w:t>
            </w:r>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537F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occupational exposure to </w:t>
            </w:r>
            <w:r w:rsidR="00EE3A11" w:rsidRPr="00C379C8">
              <w:rPr>
                <w:i/>
                <w:iCs/>
              </w:rPr>
              <w:t>N,N</w:t>
            </w:r>
            <w:r w:rsidR="00EE3A11" w:rsidRPr="00C379C8">
              <w:t>-dimethylformamide above the following Derived No-Effect Levels (DNELs): 6 mg/m3 for exposure by inhalation and 1,1 mg/kg/day for dermal exposure, poses a risk to human health due to its reprotoxic and hepatotoxic properties. The aim of the restriction is to ensure that the risks resulting from inhalation and skin exposure to DMF are adequately controlled. The transitional period (2 years) before the application of the proposed restriction will allow stakeholders sufficient time to comply with the proposed restriction and to ensure adequate communication throughout the supply chain; Protection of human health or safety</w:t>
            </w:r>
            <w:bookmarkStart w:id="27" w:name="sps7f"/>
            <w:bookmarkEnd w:id="27"/>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537F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982D06" w:rsidRDefault="008537FB" w:rsidP="009E75ED">
            <w:pPr>
              <w:numPr>
                <w:ilvl w:val="0"/>
                <w:numId w:val="16"/>
              </w:numPr>
              <w:spacing w:before="120" w:after="120"/>
              <w:jc w:val="left"/>
              <w:rPr>
                <w:bCs/>
              </w:rPr>
            </w:pPr>
            <w:r w:rsidRPr="002F6A28">
              <w:rPr>
                <w:bCs/>
              </w:rPr>
              <w:t>Regulation (EC) No 1907/2006 of the European Parliament and of the Council on the Registration, Evaluation, Authorisation and Restriction of Chemicals (REACH Regulation): </w:t>
            </w:r>
            <w:hyperlink r:id="rId9" w:history="1">
              <w:r w:rsidRPr="002F6A28">
                <w:rPr>
                  <w:bCs/>
                  <w:color w:val="0000FF"/>
                  <w:u w:val="single"/>
                </w:rPr>
                <w:t>http://eur-lex.europa.eu/legal-content/EN/TXT/?qid=1423064258789&amp;uri=CELEX:32006R1907</w:t>
              </w:r>
            </w:hyperlink>
          </w:p>
          <w:p w:rsidR="00EC7424" w:rsidRPr="00982D06" w:rsidRDefault="003F64F1" w:rsidP="009E75ED">
            <w:pPr>
              <w:numPr>
                <w:ilvl w:val="0"/>
                <w:numId w:val="16"/>
              </w:numPr>
              <w:spacing w:before="120" w:after="120"/>
              <w:jc w:val="left"/>
              <w:rPr>
                <w:bCs/>
              </w:rPr>
            </w:pPr>
            <w:hyperlink r:id="rId10" w:history="1">
              <w:r w:rsidR="008537FB" w:rsidRPr="00C20717">
                <w:rPr>
                  <w:rStyle w:val="Hyperlink"/>
                  <w:bCs/>
                </w:rPr>
                <w:t>https://echa.europa.eu/es/registry-of-restriction-intentions/-/dislist/details/0b0236e18213ec9e</w:t>
              </w:r>
            </w:hyperlink>
            <w:r w:rsidR="008537FB" w:rsidRPr="00982D06">
              <w:rPr>
                <w:bCs/>
              </w:rPr>
              <w:t xml:space="preserve"> </w:t>
            </w:r>
          </w:p>
        </w:tc>
      </w:tr>
      <w:tr w:rsidR="00903EC5" w:rsidTr="00AE6CC8">
        <w:trPr>
          <w:cantSplit/>
        </w:trPr>
        <w:tc>
          <w:tcPr>
            <w:tcW w:w="713" w:type="dxa"/>
            <w:tcBorders>
              <w:top w:val="single" w:sz="6" w:space="0" w:color="auto"/>
              <w:bottom w:val="single" w:sz="6" w:space="0" w:color="auto"/>
            </w:tcBorders>
            <w:shd w:val="clear" w:color="auto" w:fill="auto"/>
          </w:tcPr>
          <w:p w:rsidR="00EE3A11" w:rsidRPr="002F6A28" w:rsidRDefault="008537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537F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First quarter of 2021</w:t>
            </w:r>
            <w:bookmarkEnd w:id="31"/>
          </w:p>
          <w:p w:rsidR="00EE3A11" w:rsidRPr="002F6A28" w:rsidRDefault="008537F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from publication in the Official Journal of the EU. Application of the restriction would be deferred for 48 months after entry into force.</w:t>
            </w:r>
            <w:bookmarkEnd w:id="34"/>
          </w:p>
        </w:tc>
      </w:tr>
      <w:tr w:rsidR="00903EC5" w:rsidTr="0069259F">
        <w:tc>
          <w:tcPr>
            <w:tcW w:w="713" w:type="dxa"/>
            <w:tcBorders>
              <w:top w:val="single" w:sz="6" w:space="0" w:color="auto"/>
              <w:bottom w:val="single" w:sz="6" w:space="0" w:color="auto"/>
            </w:tcBorders>
            <w:shd w:val="clear" w:color="auto" w:fill="auto"/>
          </w:tcPr>
          <w:p w:rsidR="00F85C99" w:rsidRPr="002F6A28" w:rsidRDefault="008537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537F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03EC5" w:rsidTr="0069259F">
        <w:tc>
          <w:tcPr>
            <w:tcW w:w="713" w:type="dxa"/>
            <w:tcBorders>
              <w:top w:val="single" w:sz="6" w:space="0" w:color="auto"/>
            </w:tcBorders>
            <w:shd w:val="clear" w:color="auto" w:fill="auto"/>
          </w:tcPr>
          <w:p w:rsidR="00F85C99" w:rsidRPr="002F6A28" w:rsidRDefault="008537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537F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C7424" w:rsidRPr="002F6A28" w:rsidRDefault="008537FB"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r>
            <w:r w:rsidRPr="002F6A28">
              <w:br/>
              <w:t xml:space="preserve">The text is available on the EU-TBT Website: </w:t>
            </w:r>
            <w:hyperlink r:id="rId12" w:history="1">
              <w:r w:rsidRPr="002F6A28">
                <w:rPr>
                  <w:color w:val="0000FF"/>
                  <w:u w:val="single"/>
                </w:rPr>
                <w:t>http://ec.europa.eu/growth/tools-databases/tbt/en/</w:t>
              </w:r>
            </w:hyperlink>
          </w:p>
          <w:p w:rsidR="00EC7424" w:rsidRPr="002F6A28" w:rsidRDefault="003F64F1" w:rsidP="00B16145">
            <w:pPr>
              <w:keepNext/>
              <w:keepLines/>
              <w:spacing w:before="120" w:after="120"/>
              <w:jc w:val="left"/>
            </w:pPr>
            <w:hyperlink r:id="rId13" w:history="1">
              <w:r w:rsidR="008537FB" w:rsidRPr="002F6A28">
                <w:rPr>
                  <w:color w:val="0000FF"/>
                  <w:u w:val="single"/>
                </w:rPr>
                <w:t>https://members.wto.org/crnattachments/2020/TBT/EEC/20_5701_00_e.pdf</w:t>
              </w:r>
            </w:hyperlink>
            <w:r w:rsidR="008537FB" w:rsidRPr="002F6A28">
              <w:br/>
            </w:r>
            <w:hyperlink r:id="rId14" w:history="1">
              <w:r w:rsidR="008537FB" w:rsidRPr="002F6A28">
                <w:rPr>
                  <w:color w:val="0000FF"/>
                  <w:u w:val="single"/>
                </w:rPr>
                <w:t>https://members.wto.org/crnattachments/2020/TBT/EEC/20_5701_01_e.pdf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47" w:rsidRDefault="008537FB">
      <w:r>
        <w:separator/>
      </w:r>
    </w:p>
  </w:endnote>
  <w:endnote w:type="continuationSeparator" w:id="0">
    <w:p w:rsidR="00AC1147" w:rsidRDefault="0085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537F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537F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537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47" w:rsidRDefault="008537FB">
      <w:r>
        <w:separator/>
      </w:r>
    </w:p>
  </w:footnote>
  <w:footnote w:type="continuationSeparator" w:id="0">
    <w:p w:rsidR="00AC1147" w:rsidRDefault="0085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537FB"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537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537FB" w:rsidP="009239F7">
    <w:pPr>
      <w:pStyle w:val="Header"/>
      <w:pBdr>
        <w:bottom w:val="single" w:sz="4" w:space="1" w:color="auto"/>
      </w:pBdr>
      <w:tabs>
        <w:tab w:val="clear" w:pos="4513"/>
        <w:tab w:val="clear" w:pos="9027"/>
      </w:tabs>
      <w:jc w:val="center"/>
    </w:pPr>
    <w:bookmarkStart w:id="41" w:name="spsSymbolHeader"/>
    <w:r w:rsidRPr="002F6A28">
      <w:t>G/TBT/N/EU/749</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8537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3EC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03EC5" w:rsidTr="008612A9">
      <w:trPr>
        <w:trHeight w:val="213"/>
        <w:jc w:val="center"/>
      </w:trPr>
      <w:tc>
        <w:tcPr>
          <w:tcW w:w="3794" w:type="dxa"/>
          <w:vMerge w:val="restart"/>
          <w:shd w:val="clear" w:color="auto" w:fill="FFFFFF"/>
          <w:tcMar>
            <w:left w:w="0" w:type="dxa"/>
            <w:right w:w="0" w:type="dxa"/>
          </w:tcMar>
        </w:tcPr>
        <w:p w:rsidR="00ED54E0" w:rsidRPr="009239F7" w:rsidRDefault="008537FB"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083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03EC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537FB" w:rsidP="00B801E9">
          <w:pPr>
            <w:jc w:val="right"/>
            <w:rPr>
              <w:b/>
              <w:szCs w:val="16"/>
            </w:rPr>
          </w:pPr>
          <w:bookmarkStart w:id="43" w:name="bmkSymbols"/>
          <w:r w:rsidRPr="002F6A28">
            <w:rPr>
              <w:b/>
              <w:szCs w:val="16"/>
            </w:rPr>
            <w:t>G/TBT/N/EU/749</w:t>
          </w:r>
          <w:bookmarkEnd w:id="43"/>
        </w:p>
      </w:tc>
    </w:tr>
    <w:tr w:rsidR="00903EC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537FB" w:rsidP="00B801E9">
          <w:pPr>
            <w:jc w:val="right"/>
            <w:rPr>
              <w:szCs w:val="16"/>
            </w:rPr>
          </w:pPr>
          <w:bookmarkStart w:id="44" w:name="spsDateDistribution"/>
          <w:bookmarkStart w:id="45" w:name="bmkDate"/>
          <w:bookmarkEnd w:id="44"/>
          <w:bookmarkEnd w:id="45"/>
          <w:r>
            <w:rPr>
              <w:szCs w:val="16"/>
            </w:rPr>
            <w:t>24 September 2020</w:t>
          </w:r>
        </w:p>
      </w:tc>
    </w:tr>
    <w:tr w:rsidR="00903EC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537F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3F64F1">
            <w:rPr>
              <w:color w:val="FF0000"/>
              <w:szCs w:val="16"/>
            </w:rPr>
            <w:t>6487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537F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03EC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537F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537F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76D480">
      <w:start w:val="1"/>
      <w:numFmt w:val="decimal"/>
      <w:pStyle w:val="SummaryText"/>
      <w:lvlText w:val="%1."/>
      <w:lvlJc w:val="left"/>
      <w:pPr>
        <w:ind w:left="360" w:hanging="360"/>
      </w:pPr>
    </w:lvl>
    <w:lvl w:ilvl="1" w:tplc="DB365A82" w:tentative="1">
      <w:start w:val="1"/>
      <w:numFmt w:val="lowerLetter"/>
      <w:lvlText w:val="%2."/>
      <w:lvlJc w:val="left"/>
      <w:pPr>
        <w:ind w:left="1080" w:hanging="360"/>
      </w:pPr>
    </w:lvl>
    <w:lvl w:ilvl="2" w:tplc="9B127980" w:tentative="1">
      <w:start w:val="1"/>
      <w:numFmt w:val="lowerRoman"/>
      <w:lvlText w:val="%3."/>
      <w:lvlJc w:val="right"/>
      <w:pPr>
        <w:ind w:left="1800" w:hanging="180"/>
      </w:pPr>
    </w:lvl>
    <w:lvl w:ilvl="3" w:tplc="C55CD758" w:tentative="1">
      <w:start w:val="1"/>
      <w:numFmt w:val="decimal"/>
      <w:lvlText w:val="%4."/>
      <w:lvlJc w:val="left"/>
      <w:pPr>
        <w:ind w:left="2520" w:hanging="360"/>
      </w:pPr>
    </w:lvl>
    <w:lvl w:ilvl="4" w:tplc="E9E0F164" w:tentative="1">
      <w:start w:val="1"/>
      <w:numFmt w:val="lowerLetter"/>
      <w:lvlText w:val="%5."/>
      <w:lvlJc w:val="left"/>
      <w:pPr>
        <w:ind w:left="3240" w:hanging="360"/>
      </w:pPr>
    </w:lvl>
    <w:lvl w:ilvl="5" w:tplc="1758E980" w:tentative="1">
      <w:start w:val="1"/>
      <w:numFmt w:val="lowerRoman"/>
      <w:lvlText w:val="%6."/>
      <w:lvlJc w:val="right"/>
      <w:pPr>
        <w:ind w:left="3960" w:hanging="180"/>
      </w:pPr>
    </w:lvl>
    <w:lvl w:ilvl="6" w:tplc="95DC8356" w:tentative="1">
      <w:start w:val="1"/>
      <w:numFmt w:val="decimal"/>
      <w:lvlText w:val="%7."/>
      <w:lvlJc w:val="left"/>
      <w:pPr>
        <w:ind w:left="4680" w:hanging="360"/>
      </w:pPr>
    </w:lvl>
    <w:lvl w:ilvl="7" w:tplc="D8026A84" w:tentative="1">
      <w:start w:val="1"/>
      <w:numFmt w:val="lowerLetter"/>
      <w:lvlText w:val="%8."/>
      <w:lvlJc w:val="left"/>
      <w:pPr>
        <w:ind w:left="5400" w:hanging="360"/>
      </w:pPr>
    </w:lvl>
    <w:lvl w:ilvl="8" w:tplc="C10A24F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7AC8D2C">
      <w:start w:val="1"/>
      <w:numFmt w:val="bullet"/>
      <w:lvlText w:val=""/>
      <w:lvlJc w:val="left"/>
      <w:pPr>
        <w:ind w:left="720" w:hanging="360"/>
      </w:pPr>
      <w:rPr>
        <w:rFonts w:ascii="Symbol" w:hAnsi="Symbol"/>
      </w:rPr>
    </w:lvl>
    <w:lvl w:ilvl="1" w:tplc="32B6DE0C">
      <w:start w:val="1"/>
      <w:numFmt w:val="bullet"/>
      <w:lvlText w:val="o"/>
      <w:lvlJc w:val="left"/>
      <w:pPr>
        <w:tabs>
          <w:tab w:val="num" w:pos="1440"/>
        </w:tabs>
        <w:ind w:left="1440" w:hanging="360"/>
      </w:pPr>
      <w:rPr>
        <w:rFonts w:ascii="Courier New" w:hAnsi="Courier New"/>
      </w:rPr>
    </w:lvl>
    <w:lvl w:ilvl="2" w:tplc="ED6E28F2">
      <w:start w:val="1"/>
      <w:numFmt w:val="bullet"/>
      <w:lvlText w:val=""/>
      <w:lvlJc w:val="left"/>
      <w:pPr>
        <w:tabs>
          <w:tab w:val="num" w:pos="2160"/>
        </w:tabs>
        <w:ind w:left="2160" w:hanging="360"/>
      </w:pPr>
      <w:rPr>
        <w:rFonts w:ascii="Wingdings" w:hAnsi="Wingdings"/>
      </w:rPr>
    </w:lvl>
    <w:lvl w:ilvl="3" w:tplc="34FE71C4">
      <w:start w:val="1"/>
      <w:numFmt w:val="bullet"/>
      <w:lvlText w:val=""/>
      <w:lvlJc w:val="left"/>
      <w:pPr>
        <w:tabs>
          <w:tab w:val="num" w:pos="2880"/>
        </w:tabs>
        <w:ind w:left="2880" w:hanging="360"/>
      </w:pPr>
      <w:rPr>
        <w:rFonts w:ascii="Symbol" w:hAnsi="Symbol"/>
      </w:rPr>
    </w:lvl>
    <w:lvl w:ilvl="4" w:tplc="F98E5C8A">
      <w:start w:val="1"/>
      <w:numFmt w:val="bullet"/>
      <w:lvlText w:val="o"/>
      <w:lvlJc w:val="left"/>
      <w:pPr>
        <w:tabs>
          <w:tab w:val="num" w:pos="3600"/>
        </w:tabs>
        <w:ind w:left="3600" w:hanging="360"/>
      </w:pPr>
      <w:rPr>
        <w:rFonts w:ascii="Courier New" w:hAnsi="Courier New"/>
      </w:rPr>
    </w:lvl>
    <w:lvl w:ilvl="5" w:tplc="B52E4B96">
      <w:start w:val="1"/>
      <w:numFmt w:val="bullet"/>
      <w:lvlText w:val=""/>
      <w:lvlJc w:val="left"/>
      <w:pPr>
        <w:tabs>
          <w:tab w:val="num" w:pos="4320"/>
        </w:tabs>
        <w:ind w:left="4320" w:hanging="360"/>
      </w:pPr>
      <w:rPr>
        <w:rFonts w:ascii="Wingdings" w:hAnsi="Wingdings"/>
      </w:rPr>
    </w:lvl>
    <w:lvl w:ilvl="6" w:tplc="3D4C1CD6">
      <w:start w:val="1"/>
      <w:numFmt w:val="bullet"/>
      <w:lvlText w:val=""/>
      <w:lvlJc w:val="left"/>
      <w:pPr>
        <w:tabs>
          <w:tab w:val="num" w:pos="5040"/>
        </w:tabs>
        <w:ind w:left="5040" w:hanging="360"/>
      </w:pPr>
      <w:rPr>
        <w:rFonts w:ascii="Symbol" w:hAnsi="Symbol"/>
      </w:rPr>
    </w:lvl>
    <w:lvl w:ilvl="7" w:tplc="C726A86C">
      <w:start w:val="1"/>
      <w:numFmt w:val="bullet"/>
      <w:lvlText w:val="o"/>
      <w:lvlJc w:val="left"/>
      <w:pPr>
        <w:tabs>
          <w:tab w:val="num" w:pos="5760"/>
        </w:tabs>
        <w:ind w:left="5760" w:hanging="360"/>
      </w:pPr>
      <w:rPr>
        <w:rFonts w:ascii="Courier New" w:hAnsi="Courier New"/>
      </w:rPr>
    </w:lvl>
    <w:lvl w:ilvl="8" w:tplc="A198AB7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64F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37F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3EC5"/>
    <w:rsid w:val="009239F7"/>
    <w:rsid w:val="00934ABC"/>
    <w:rsid w:val="00955D8A"/>
    <w:rsid w:val="00964F4F"/>
    <w:rsid w:val="0097650D"/>
    <w:rsid w:val="009811DD"/>
    <w:rsid w:val="00982D06"/>
    <w:rsid w:val="00984DF3"/>
    <w:rsid w:val="00990E7D"/>
    <w:rsid w:val="009A4C91"/>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114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0717"/>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7424"/>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98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5701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ha.europa.eu/es/registry-of-restriction-intentions/-/dislist/details/0b0236e18213ec9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23064258789&amp;uri=CELEX:32006R1907" TargetMode="External"/><Relationship Id="rId14" Type="http://schemas.openxmlformats.org/officeDocument/2006/relationships/hyperlink" Target="https://members.wto.org/crnattachments/2020/TBT/EEC/20_5701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2020-09-24T08:25:00Z</dcterms:created>
  <dcterms:modified xsi:type="dcterms:W3CDTF">2020-09-24T08:44:00Z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01139761-8fc2-4faf-973e-9a18147c03a4</vt:lpwstr>
  </property>
  <property fmtid="{D5CDD505-2E9C-101B-9397-08002B2CF9AE}" pid="4" name="WTOCLASSIFICATION">
    <vt:lpwstr>WTO OFFICIAL</vt:lpwstr>
  </property>
</Properties>
</file>