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513A1" w:rsidP="002F6A28">
      <w:pPr>
        <w:pStyle w:val="Ttulo"/>
        <w:rPr>
          <w:caps w:val="0"/>
          <w:kern w:val="0"/>
        </w:rPr>
      </w:pPr>
      <w:r w:rsidRPr="002F6A28">
        <w:rPr>
          <w:caps w:val="0"/>
          <w:kern w:val="0"/>
        </w:rPr>
        <w:t>NOTIFICATION</w:t>
      </w:r>
    </w:p>
    <w:p w:rsidR="009239F7" w:rsidRPr="002F6A28" w:rsidRDefault="00F513A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D3476" w:rsidTr="0069259F">
        <w:tc>
          <w:tcPr>
            <w:tcW w:w="713" w:type="dxa"/>
            <w:tcBorders>
              <w:bottom w:val="single" w:sz="6" w:space="0" w:color="auto"/>
            </w:tcBorders>
            <w:shd w:val="clear" w:color="auto" w:fill="auto"/>
          </w:tcPr>
          <w:p w:rsidR="00F85C99" w:rsidRPr="002F6A28" w:rsidRDefault="00F513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513A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F513A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513A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F513A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590932" w:rsidRPr="00EA317E" w:rsidRDefault="00F513A1" w:rsidP="00AA646C">
            <w:pPr>
              <w:spacing w:after="120"/>
              <w:jc w:val="left"/>
              <w:rPr>
                <w:lang w:val="fr-CH"/>
              </w:rPr>
            </w:pPr>
            <w:r w:rsidRPr="00EA317E">
              <w:rPr>
                <w:lang w:val="fr-CH"/>
              </w:rPr>
              <w:t>European Commission</w:t>
            </w:r>
            <w:r w:rsidRPr="00EA317E">
              <w:rPr>
                <w:lang w:val="fr-CH"/>
              </w:rPr>
              <w:br/>
              <w:t>EU-TBT Enquiry Point</w:t>
            </w:r>
            <w:r w:rsidRPr="00EA317E">
              <w:rPr>
                <w:lang w:val="fr-CH"/>
              </w:rPr>
              <w:br/>
              <w:t>Fax: +(32) 2 299 80 43</w:t>
            </w:r>
            <w:r w:rsidRPr="00EA317E">
              <w:rPr>
                <w:lang w:val="fr-CH"/>
              </w:rPr>
              <w:br/>
              <w:t xml:space="preserve">E-mail: </w:t>
            </w:r>
            <w:hyperlink r:id="rId7" w:history="1">
              <w:r w:rsidRPr="00EA317E">
                <w:rPr>
                  <w:color w:val="0000FF"/>
                  <w:u w:val="single"/>
                  <w:lang w:val="fr-CH"/>
                </w:rPr>
                <w:t>grow-eu-tbt@ec.europa.eu</w:t>
              </w:r>
            </w:hyperlink>
            <w:r w:rsidRPr="00EA317E">
              <w:rPr>
                <w:lang w:val="fr-CH"/>
              </w:rPr>
              <w:br/>
              <w:t xml:space="preserve">Website: </w:t>
            </w:r>
            <w:hyperlink r:id="rId8" w:history="1">
              <w:r w:rsidRPr="00EA317E">
                <w:rPr>
                  <w:color w:val="0000FF"/>
                  <w:u w:val="single"/>
                  <w:lang w:val="fr-CH"/>
                </w:rPr>
                <w:t>http://ec.europa.eu/growth/tools-databases/tbt/en/</w:t>
              </w:r>
            </w:hyperlink>
            <w:bookmarkEnd w:id="7"/>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513A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513A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Hazardous mixtures</w:t>
            </w:r>
            <w:bookmarkStart w:id="20" w:name="sps3a"/>
            <w:bookmarkEnd w:id="20"/>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513A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Article 25 of Regulation (EC) 1272/2008 of the European Parliament and of the Council on classification, labelling and packaging of substances and mixtures as regards bespoke paints (6 page(s), in English)</w:t>
            </w:r>
            <w:bookmarkStart w:id="22" w:name="sps5a"/>
            <w:bookmarkStart w:id="23" w:name="sps5c"/>
            <w:bookmarkStart w:id="24" w:name="sps5b"/>
            <w:bookmarkEnd w:id="22"/>
            <w:bookmarkEnd w:id="23"/>
            <w:bookmarkEnd w:id="24"/>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513A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According to Article 45(1) of the CLP Regulation, EU Member States' appointed bodies shall be responsible for receiving information from importers and downstream users on the hazardous chemical mixtures they place on the market. Commission Regulation (EU) No 2017/542 amended the CLP Regulation by adding an Annex harmonising the information to be provided relating to emergency health response ("Annex VIII").</w:t>
            </w:r>
          </w:p>
          <w:p w:rsidR="00FE448B" w:rsidRPr="00C379C8" w:rsidRDefault="00F513A1" w:rsidP="002F6A28">
            <w:pPr>
              <w:spacing w:after="120"/>
            </w:pPr>
            <w:r w:rsidRPr="00C379C8">
              <w:t xml:space="preserve">Annex VIII was adopted in March 2017. Shortly before adoption, EU Member States and industry stakeholders called for amendments of Annex VIII before its compliance date, for reasons of serious workability concerns (notably the difficulty or impossibility of knowing the exact composition of products in cases where raw materials with highly variable or unknown composition are used, where multiple suppliers are being used for components that are stored in the same recipient, or where complex supply chains are involved). The Commission services commissioned a study to assess the legitimacy of the claims and the impact on duty holders and concluded that an amendment of Annex VIII was indeed necessary. The amendment would constitute a second amendment to the Regulation, after the adoption of Regulation (EU) 2020/11, which deferred the compliance date for mixtures for consumer use and aimed at a more streamlined interpretation of the rules, improving internal coherence and mitigating some unintended consequences that had only become apparent since the adoption of Regulation (EU) 2017/542. </w:t>
            </w:r>
          </w:p>
          <w:p w:rsidR="00FE448B" w:rsidRPr="00C379C8" w:rsidRDefault="00F513A1" w:rsidP="002F6A28">
            <w:pPr>
              <w:spacing w:after="120"/>
            </w:pPr>
            <w:r w:rsidRPr="00C379C8">
              <w:lastRenderedPageBreak/>
              <w:t xml:space="preserve">The Commission is now proposing to add paragraph (8) to Article 25 in order to solve the workability issue on be-spoke paints. </w:t>
            </w:r>
          </w:p>
          <w:p w:rsidR="00FE448B" w:rsidRPr="00C379C8" w:rsidRDefault="00F513A1" w:rsidP="002F6A28">
            <w:pPr>
              <w:spacing w:before="120" w:after="120"/>
            </w:pPr>
            <w:r w:rsidRPr="00C379C8">
              <w:t>The proposed act contains the addition of paragraph (8) to Article 25 as regards bespoke paints. The act is closely interlinked with the "Draft Commission Delegated Regulation amending Regulation (EC) No 1272/2008 of the European Parliament and of the Council on classification, labelling and packaging of substances and mixtures in order to improve the workability of information requirements related to emergency health response accompanied by an Annex". The proposed act constitutes only part of the solution, namely the consequence for the labelling obligations in Article 25 of Regulation (EC) 1272/2008 of the non-necessity to create a UFI for bespoke paints. The non-necessity to create a UFI for bespoke paints, being the other part of the solution, is stipulated in the other proposed Commission Delegated Regulation.</w:t>
            </w:r>
            <w:bookmarkStart w:id="26" w:name="sps6a"/>
            <w:bookmarkEnd w:id="26"/>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F513A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Ensuring the proper functioning of the EU internal market; Protection of human health or safety; Protection of the environment</w:t>
            </w:r>
            <w:bookmarkStart w:id="28" w:name="sps7f"/>
            <w:bookmarkEnd w:id="28"/>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513A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590932" w:rsidRPr="002F6A28" w:rsidRDefault="00F513A1" w:rsidP="009E75ED">
            <w:pPr>
              <w:numPr>
                <w:ilvl w:val="0"/>
                <w:numId w:val="16"/>
              </w:numPr>
              <w:spacing w:before="120" w:after="120"/>
              <w:jc w:val="left"/>
              <w:rPr>
                <w:bCs/>
              </w:rPr>
            </w:pPr>
            <w:r w:rsidRPr="002F6A28">
              <w:rPr>
                <w:bCs/>
              </w:rPr>
              <w:t xml:space="preserve">Regulation (EC) 1272/2008 on classification, labelling and packaging of substances and mixtures, amending and repealing Directives 67/548/EEC and 1999/45/EC, and amending Regulation (EC) No 1907/2006 (OJ L 353, 31.12.2008, p. 1.). </w:t>
            </w:r>
            <w:hyperlink r:id="rId9" w:history="1">
              <w:hyperlink r:id="rId10" w:history="1">
                <w:r w:rsidRPr="002F6A28">
                  <w:rPr>
                    <w:bCs/>
                    <w:color w:val="0000FF"/>
                    <w:u w:val="single"/>
                  </w:rPr>
                  <w:t>http://eur-lex.europa.eu/LexUriServ/LexUriServ.do?uri=OJ:L:2008:353:0001:1355:EN:PDF</w:t>
                </w:r>
              </w:hyperlink>
            </w:hyperlink>
          </w:p>
          <w:p w:rsidR="00590932" w:rsidRPr="002F6A28" w:rsidRDefault="00F513A1" w:rsidP="009E75ED">
            <w:pPr>
              <w:numPr>
                <w:ilvl w:val="0"/>
                <w:numId w:val="17"/>
              </w:numPr>
              <w:spacing w:before="120" w:after="120"/>
              <w:jc w:val="left"/>
              <w:rPr>
                <w:bCs/>
              </w:rPr>
            </w:pPr>
            <w:r w:rsidRPr="002F6A28">
              <w:rPr>
                <w:bCs/>
              </w:rPr>
              <w:t xml:space="preserve">Commission Regulation (EU) No 2017/542 amended the CLP Regulation by adding an Annex harmonising the information to be provided relating to emergency health response (OJ L 78/1, 23.3.2017, p.1) </w:t>
            </w:r>
            <w:hyperlink r:id="rId11" w:tooltip="Gives access to this document through its ELI URI." w:history="1">
              <w:hyperlink r:id="rId12" w:history="1">
                <w:r w:rsidRPr="002F6A28">
                  <w:rPr>
                    <w:bCs/>
                    <w:color w:val="0000FF"/>
                    <w:u w:val="single"/>
                  </w:rPr>
                  <w:t>http://data.europa.eu/eli/reg/2017/542/oj</w:t>
                </w:r>
              </w:hyperlink>
            </w:hyperlink>
            <w:r w:rsidRPr="002F6A28">
              <w:rPr>
                <w:bCs/>
              </w:rPr>
              <w:t xml:space="preserve"> </w:t>
            </w:r>
          </w:p>
          <w:p w:rsidR="00590932" w:rsidRPr="002F6A28" w:rsidRDefault="00F513A1" w:rsidP="009E75ED">
            <w:pPr>
              <w:numPr>
                <w:ilvl w:val="0"/>
                <w:numId w:val="18"/>
              </w:numPr>
              <w:spacing w:before="120" w:after="120"/>
              <w:jc w:val="left"/>
              <w:rPr>
                <w:bCs/>
              </w:rPr>
            </w:pPr>
            <w:r w:rsidRPr="002F6A28">
              <w:rPr>
                <w:bCs/>
              </w:rPr>
              <w:t xml:space="preserve">Commission Delegated Regulation (EU) 2020/11 of 29 October 2019 amending Regulation (EC) No 1272/2008 of the European Parliament and of the Council on classification, labelling and packaging of substances and mixtures as regards information relating to emergency health response </w:t>
            </w:r>
            <w:r w:rsidRPr="002F6A28">
              <w:rPr>
                <w:bCs/>
                <w:i/>
                <w:iCs/>
              </w:rPr>
              <w:t xml:space="preserve">(OJ L 6, 10.1.2020, p. 8–14). </w:t>
            </w:r>
            <w:hyperlink r:id="rId13" w:tooltip="Gives access to this document through its ELI URI." w:history="1">
              <w:hyperlink r:id="rId14" w:history="1">
                <w:r w:rsidRPr="002F6A28">
                  <w:rPr>
                    <w:bCs/>
                    <w:color w:val="0000FF"/>
                    <w:u w:val="single"/>
                  </w:rPr>
                  <w:t>http://data.europa.eu/eli/reg_del/2020/11/oj</w:t>
                </w:r>
              </w:hyperlink>
            </w:hyperlink>
          </w:p>
        </w:tc>
      </w:tr>
      <w:tr w:rsidR="00FD3476" w:rsidTr="00AE6CC8">
        <w:trPr>
          <w:cantSplit/>
        </w:trPr>
        <w:tc>
          <w:tcPr>
            <w:tcW w:w="713" w:type="dxa"/>
            <w:tcBorders>
              <w:top w:val="single" w:sz="6" w:space="0" w:color="auto"/>
              <w:bottom w:val="single" w:sz="6" w:space="0" w:color="auto"/>
            </w:tcBorders>
            <w:shd w:val="clear" w:color="auto" w:fill="auto"/>
          </w:tcPr>
          <w:p w:rsidR="00EE3A11" w:rsidRPr="002F6A28" w:rsidRDefault="00F513A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513A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3rd quarter 2020</w:t>
            </w:r>
            <w:bookmarkEnd w:id="32"/>
          </w:p>
          <w:p w:rsidR="00EE3A11" w:rsidRPr="002F6A28" w:rsidRDefault="00F513A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from publication in the Official Journal of the EU (about a month after adoption). </w:t>
            </w:r>
            <w:bookmarkEnd w:id="35"/>
          </w:p>
        </w:tc>
      </w:tr>
      <w:tr w:rsidR="00FD3476" w:rsidTr="0069259F">
        <w:tc>
          <w:tcPr>
            <w:tcW w:w="713" w:type="dxa"/>
            <w:tcBorders>
              <w:top w:val="single" w:sz="6" w:space="0" w:color="auto"/>
              <w:bottom w:val="single" w:sz="6" w:space="0" w:color="auto"/>
            </w:tcBorders>
            <w:shd w:val="clear" w:color="auto" w:fill="auto"/>
          </w:tcPr>
          <w:p w:rsidR="00F85C99" w:rsidRPr="002F6A28" w:rsidRDefault="00F513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513A1"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FD3476" w:rsidTr="0069259F">
        <w:tc>
          <w:tcPr>
            <w:tcW w:w="713" w:type="dxa"/>
            <w:tcBorders>
              <w:top w:val="single" w:sz="6" w:space="0" w:color="auto"/>
            </w:tcBorders>
            <w:shd w:val="clear" w:color="auto" w:fill="auto"/>
          </w:tcPr>
          <w:p w:rsidR="00F85C99" w:rsidRPr="002F6A28" w:rsidRDefault="00F513A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513A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590932" w:rsidRPr="002F6A28" w:rsidRDefault="00F513A1"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5" w:history="1">
              <w:r w:rsidRPr="002F6A28">
                <w:rPr>
                  <w:color w:val="0000FF"/>
                  <w:u w:val="single"/>
                </w:rPr>
                <w:t>grow-eu-tbt@ec.europa.eu</w:t>
              </w:r>
            </w:hyperlink>
            <w:r w:rsidRPr="002F6A28">
              <w:br/>
            </w:r>
            <w:r w:rsidRPr="002F6A28">
              <w:br/>
              <w:t xml:space="preserve">The text is available on the EU-TBT Website: </w:t>
            </w:r>
            <w:hyperlink r:id="rId16" w:history="1">
              <w:r w:rsidRPr="002F6A28">
                <w:rPr>
                  <w:color w:val="0000FF"/>
                  <w:u w:val="single"/>
                </w:rPr>
                <w:t>http://ec.europa.eu/growth/tools-databases/tbt/en/</w:t>
              </w:r>
            </w:hyperlink>
          </w:p>
          <w:p w:rsidR="00590932" w:rsidRPr="002F6A28" w:rsidRDefault="00C60DA8" w:rsidP="00B16145">
            <w:pPr>
              <w:keepNext/>
              <w:keepLines/>
              <w:spacing w:before="120" w:after="120"/>
            </w:pPr>
            <w:hyperlink r:id="rId17" w:history="1">
              <w:r w:rsidR="00F513A1" w:rsidRPr="002F6A28">
                <w:rPr>
                  <w:color w:val="0000FF"/>
                  <w:u w:val="single"/>
                </w:rPr>
                <w:t>https://members.wto.org/crnattachments/2020/TBT/EEC/20_3168_00_e.pdf</w:t>
              </w:r>
            </w:hyperlink>
            <w:bookmarkEnd w:id="41"/>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FE" w:rsidRDefault="00F513A1">
      <w:r>
        <w:separator/>
      </w:r>
    </w:p>
  </w:endnote>
  <w:endnote w:type="continuationSeparator" w:id="0">
    <w:p w:rsidR="006E51FE" w:rsidRDefault="00F5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513A1"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513A1"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513A1">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FE" w:rsidRDefault="00F513A1">
      <w:r>
        <w:separator/>
      </w:r>
    </w:p>
  </w:footnote>
  <w:footnote w:type="continuationSeparator" w:id="0">
    <w:p w:rsidR="006E51FE" w:rsidRDefault="00F5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513A1"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F513A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513A1" w:rsidP="009239F7">
    <w:pPr>
      <w:pStyle w:val="Encabezado"/>
      <w:pBdr>
        <w:bottom w:val="single" w:sz="4" w:space="1" w:color="auto"/>
      </w:pBdr>
      <w:tabs>
        <w:tab w:val="clear" w:pos="4513"/>
        <w:tab w:val="clear" w:pos="9027"/>
      </w:tabs>
      <w:jc w:val="center"/>
    </w:pPr>
    <w:bookmarkStart w:id="42" w:name="spsSymbolHeader"/>
    <w:r w:rsidRPr="002F6A28">
      <w:t>G/TBT/N/EU/720</w:t>
    </w:r>
    <w:bookmarkEnd w:id="42"/>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F513A1"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347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FD3476" w:rsidTr="008612A9">
      <w:trPr>
        <w:trHeight w:val="213"/>
        <w:jc w:val="center"/>
      </w:trPr>
      <w:tc>
        <w:tcPr>
          <w:tcW w:w="3794" w:type="dxa"/>
          <w:vMerge w:val="restart"/>
          <w:shd w:val="clear" w:color="auto" w:fill="FFFFFF"/>
          <w:tcMar>
            <w:left w:w="0" w:type="dxa"/>
            <w:right w:w="0" w:type="dxa"/>
          </w:tcMar>
        </w:tcPr>
        <w:p w:rsidR="00ED54E0" w:rsidRPr="009239F7" w:rsidRDefault="00F513A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224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D347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513A1" w:rsidP="00B801E9">
          <w:pPr>
            <w:jc w:val="right"/>
            <w:rPr>
              <w:b/>
              <w:szCs w:val="16"/>
            </w:rPr>
          </w:pPr>
          <w:bookmarkStart w:id="44" w:name="bmkSymbols"/>
          <w:r w:rsidRPr="002F6A28">
            <w:rPr>
              <w:b/>
              <w:szCs w:val="16"/>
            </w:rPr>
            <w:t>G/TBT/N/EU/720</w:t>
          </w:r>
          <w:bookmarkEnd w:id="44"/>
        </w:p>
      </w:tc>
    </w:tr>
    <w:tr w:rsidR="00FD347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A74D7" w:rsidP="00B801E9">
          <w:pPr>
            <w:jc w:val="right"/>
            <w:rPr>
              <w:szCs w:val="16"/>
            </w:rPr>
          </w:pPr>
          <w:bookmarkStart w:id="45" w:name="spsDateDistribution"/>
          <w:bookmarkStart w:id="46" w:name="bmkDate"/>
          <w:bookmarkEnd w:id="45"/>
          <w:bookmarkEnd w:id="46"/>
          <w:r>
            <w:rPr>
              <w:szCs w:val="16"/>
            </w:rPr>
            <w:t>12 May 2020</w:t>
          </w:r>
        </w:p>
      </w:tc>
    </w:tr>
    <w:tr w:rsidR="00FD347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513A1" w:rsidP="0097650D">
          <w:pPr>
            <w:jc w:val="left"/>
            <w:rPr>
              <w:b/>
            </w:rPr>
          </w:pPr>
          <w:bookmarkStart w:id="47" w:name="bmkSerial"/>
          <w:r w:rsidRPr="002F6A28">
            <w:rPr>
              <w:color w:val="FF0000"/>
              <w:szCs w:val="16"/>
            </w:rPr>
            <w:t>(</w:t>
          </w:r>
          <w:bookmarkStart w:id="48" w:name="spsSerialNumber"/>
          <w:bookmarkEnd w:id="48"/>
          <w:r w:rsidR="005A74D7">
            <w:rPr>
              <w:color w:val="FF0000"/>
              <w:szCs w:val="16"/>
            </w:rPr>
            <w:t>20-</w:t>
          </w:r>
          <w:r w:rsidR="00C60DA8">
            <w:rPr>
              <w:color w:val="FF0000"/>
              <w:szCs w:val="16"/>
            </w:rPr>
            <w:t>3538</w:t>
          </w:r>
          <w:bookmarkStart w:id="49" w:name="_GoBack"/>
          <w:bookmarkEnd w:id="49"/>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F513A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D347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513A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F513A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56BF44">
      <w:start w:val="1"/>
      <w:numFmt w:val="decimal"/>
      <w:pStyle w:val="SummaryText"/>
      <w:lvlText w:val="%1."/>
      <w:lvlJc w:val="left"/>
      <w:pPr>
        <w:ind w:left="360" w:hanging="360"/>
      </w:pPr>
    </w:lvl>
    <w:lvl w:ilvl="1" w:tplc="03AE83E8" w:tentative="1">
      <w:start w:val="1"/>
      <w:numFmt w:val="lowerLetter"/>
      <w:lvlText w:val="%2."/>
      <w:lvlJc w:val="left"/>
      <w:pPr>
        <w:ind w:left="1080" w:hanging="360"/>
      </w:pPr>
    </w:lvl>
    <w:lvl w:ilvl="2" w:tplc="D59090A2" w:tentative="1">
      <w:start w:val="1"/>
      <w:numFmt w:val="lowerRoman"/>
      <w:lvlText w:val="%3."/>
      <w:lvlJc w:val="right"/>
      <w:pPr>
        <w:ind w:left="1800" w:hanging="180"/>
      </w:pPr>
    </w:lvl>
    <w:lvl w:ilvl="3" w:tplc="FFEE0798" w:tentative="1">
      <w:start w:val="1"/>
      <w:numFmt w:val="decimal"/>
      <w:lvlText w:val="%4."/>
      <w:lvlJc w:val="left"/>
      <w:pPr>
        <w:ind w:left="2520" w:hanging="360"/>
      </w:pPr>
    </w:lvl>
    <w:lvl w:ilvl="4" w:tplc="9D4864F6" w:tentative="1">
      <w:start w:val="1"/>
      <w:numFmt w:val="lowerLetter"/>
      <w:lvlText w:val="%5."/>
      <w:lvlJc w:val="left"/>
      <w:pPr>
        <w:ind w:left="3240" w:hanging="360"/>
      </w:pPr>
    </w:lvl>
    <w:lvl w:ilvl="5" w:tplc="C3DE98CE" w:tentative="1">
      <w:start w:val="1"/>
      <w:numFmt w:val="lowerRoman"/>
      <w:lvlText w:val="%6."/>
      <w:lvlJc w:val="right"/>
      <w:pPr>
        <w:ind w:left="3960" w:hanging="180"/>
      </w:pPr>
    </w:lvl>
    <w:lvl w:ilvl="6" w:tplc="935817FE" w:tentative="1">
      <w:start w:val="1"/>
      <w:numFmt w:val="decimal"/>
      <w:lvlText w:val="%7."/>
      <w:lvlJc w:val="left"/>
      <w:pPr>
        <w:ind w:left="4680" w:hanging="360"/>
      </w:pPr>
    </w:lvl>
    <w:lvl w:ilvl="7" w:tplc="B5228264" w:tentative="1">
      <w:start w:val="1"/>
      <w:numFmt w:val="lowerLetter"/>
      <w:lvlText w:val="%8."/>
      <w:lvlJc w:val="left"/>
      <w:pPr>
        <w:ind w:left="5400" w:hanging="360"/>
      </w:pPr>
    </w:lvl>
    <w:lvl w:ilvl="8" w:tplc="A4D285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1D401A2">
      <w:start w:val="1"/>
      <w:numFmt w:val="bullet"/>
      <w:lvlText w:val=""/>
      <w:lvlJc w:val="left"/>
      <w:pPr>
        <w:ind w:left="720" w:hanging="360"/>
      </w:pPr>
      <w:rPr>
        <w:rFonts w:ascii="Symbol" w:hAnsi="Symbol"/>
      </w:rPr>
    </w:lvl>
    <w:lvl w:ilvl="1" w:tplc="23782298">
      <w:start w:val="1"/>
      <w:numFmt w:val="bullet"/>
      <w:lvlText w:val="o"/>
      <w:lvlJc w:val="left"/>
      <w:pPr>
        <w:tabs>
          <w:tab w:val="num" w:pos="1440"/>
        </w:tabs>
        <w:ind w:left="1440" w:hanging="360"/>
      </w:pPr>
      <w:rPr>
        <w:rFonts w:ascii="Courier New" w:hAnsi="Courier New"/>
      </w:rPr>
    </w:lvl>
    <w:lvl w:ilvl="2" w:tplc="830032AA">
      <w:start w:val="1"/>
      <w:numFmt w:val="bullet"/>
      <w:lvlText w:val=""/>
      <w:lvlJc w:val="left"/>
      <w:pPr>
        <w:tabs>
          <w:tab w:val="num" w:pos="2160"/>
        </w:tabs>
        <w:ind w:left="2160" w:hanging="360"/>
      </w:pPr>
      <w:rPr>
        <w:rFonts w:ascii="Wingdings" w:hAnsi="Wingdings"/>
      </w:rPr>
    </w:lvl>
    <w:lvl w:ilvl="3" w:tplc="EB2ECDF2">
      <w:start w:val="1"/>
      <w:numFmt w:val="bullet"/>
      <w:lvlText w:val=""/>
      <w:lvlJc w:val="left"/>
      <w:pPr>
        <w:tabs>
          <w:tab w:val="num" w:pos="2880"/>
        </w:tabs>
        <w:ind w:left="2880" w:hanging="360"/>
      </w:pPr>
      <w:rPr>
        <w:rFonts w:ascii="Symbol" w:hAnsi="Symbol"/>
      </w:rPr>
    </w:lvl>
    <w:lvl w:ilvl="4" w:tplc="316EB5F2">
      <w:start w:val="1"/>
      <w:numFmt w:val="bullet"/>
      <w:lvlText w:val="o"/>
      <w:lvlJc w:val="left"/>
      <w:pPr>
        <w:tabs>
          <w:tab w:val="num" w:pos="3600"/>
        </w:tabs>
        <w:ind w:left="3600" w:hanging="360"/>
      </w:pPr>
      <w:rPr>
        <w:rFonts w:ascii="Courier New" w:hAnsi="Courier New"/>
      </w:rPr>
    </w:lvl>
    <w:lvl w:ilvl="5" w:tplc="B9B625E0">
      <w:start w:val="1"/>
      <w:numFmt w:val="bullet"/>
      <w:lvlText w:val=""/>
      <w:lvlJc w:val="left"/>
      <w:pPr>
        <w:tabs>
          <w:tab w:val="num" w:pos="4320"/>
        </w:tabs>
        <w:ind w:left="4320" w:hanging="360"/>
      </w:pPr>
      <w:rPr>
        <w:rFonts w:ascii="Wingdings" w:hAnsi="Wingdings"/>
      </w:rPr>
    </w:lvl>
    <w:lvl w:ilvl="6" w:tplc="6090E5CA">
      <w:start w:val="1"/>
      <w:numFmt w:val="bullet"/>
      <w:lvlText w:val=""/>
      <w:lvlJc w:val="left"/>
      <w:pPr>
        <w:tabs>
          <w:tab w:val="num" w:pos="5040"/>
        </w:tabs>
        <w:ind w:left="5040" w:hanging="360"/>
      </w:pPr>
      <w:rPr>
        <w:rFonts w:ascii="Symbol" w:hAnsi="Symbol"/>
      </w:rPr>
    </w:lvl>
    <w:lvl w:ilvl="7" w:tplc="F4FC2728">
      <w:start w:val="1"/>
      <w:numFmt w:val="bullet"/>
      <w:lvlText w:val="o"/>
      <w:lvlJc w:val="left"/>
      <w:pPr>
        <w:tabs>
          <w:tab w:val="num" w:pos="5760"/>
        </w:tabs>
        <w:ind w:left="5760" w:hanging="360"/>
      </w:pPr>
      <w:rPr>
        <w:rFonts w:ascii="Courier New" w:hAnsi="Courier New"/>
      </w:rPr>
    </w:lvl>
    <w:lvl w:ilvl="8" w:tplc="9BB8660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A06AE94">
      <w:start w:val="1"/>
      <w:numFmt w:val="bullet"/>
      <w:lvlText w:val=""/>
      <w:lvlJc w:val="left"/>
      <w:pPr>
        <w:ind w:left="720" w:hanging="360"/>
      </w:pPr>
      <w:rPr>
        <w:rFonts w:ascii="Symbol" w:hAnsi="Symbol"/>
      </w:rPr>
    </w:lvl>
    <w:lvl w:ilvl="1" w:tplc="DBE8059C">
      <w:start w:val="1"/>
      <w:numFmt w:val="bullet"/>
      <w:lvlText w:val="o"/>
      <w:lvlJc w:val="left"/>
      <w:pPr>
        <w:tabs>
          <w:tab w:val="num" w:pos="1440"/>
        </w:tabs>
        <w:ind w:left="1440" w:hanging="360"/>
      </w:pPr>
      <w:rPr>
        <w:rFonts w:ascii="Courier New" w:hAnsi="Courier New"/>
      </w:rPr>
    </w:lvl>
    <w:lvl w:ilvl="2" w:tplc="8C96CE78">
      <w:start w:val="1"/>
      <w:numFmt w:val="bullet"/>
      <w:lvlText w:val=""/>
      <w:lvlJc w:val="left"/>
      <w:pPr>
        <w:tabs>
          <w:tab w:val="num" w:pos="2160"/>
        </w:tabs>
        <w:ind w:left="2160" w:hanging="360"/>
      </w:pPr>
      <w:rPr>
        <w:rFonts w:ascii="Wingdings" w:hAnsi="Wingdings"/>
      </w:rPr>
    </w:lvl>
    <w:lvl w:ilvl="3" w:tplc="66E6E930">
      <w:start w:val="1"/>
      <w:numFmt w:val="bullet"/>
      <w:lvlText w:val=""/>
      <w:lvlJc w:val="left"/>
      <w:pPr>
        <w:tabs>
          <w:tab w:val="num" w:pos="2880"/>
        </w:tabs>
        <w:ind w:left="2880" w:hanging="360"/>
      </w:pPr>
      <w:rPr>
        <w:rFonts w:ascii="Symbol" w:hAnsi="Symbol"/>
      </w:rPr>
    </w:lvl>
    <w:lvl w:ilvl="4" w:tplc="5812455E">
      <w:start w:val="1"/>
      <w:numFmt w:val="bullet"/>
      <w:lvlText w:val="o"/>
      <w:lvlJc w:val="left"/>
      <w:pPr>
        <w:tabs>
          <w:tab w:val="num" w:pos="3600"/>
        </w:tabs>
        <w:ind w:left="3600" w:hanging="360"/>
      </w:pPr>
      <w:rPr>
        <w:rFonts w:ascii="Courier New" w:hAnsi="Courier New"/>
      </w:rPr>
    </w:lvl>
    <w:lvl w:ilvl="5" w:tplc="876CDC3C">
      <w:start w:val="1"/>
      <w:numFmt w:val="bullet"/>
      <w:lvlText w:val=""/>
      <w:lvlJc w:val="left"/>
      <w:pPr>
        <w:tabs>
          <w:tab w:val="num" w:pos="4320"/>
        </w:tabs>
        <w:ind w:left="4320" w:hanging="360"/>
      </w:pPr>
      <w:rPr>
        <w:rFonts w:ascii="Wingdings" w:hAnsi="Wingdings"/>
      </w:rPr>
    </w:lvl>
    <w:lvl w:ilvl="6" w:tplc="64022BEE">
      <w:start w:val="1"/>
      <w:numFmt w:val="bullet"/>
      <w:lvlText w:val=""/>
      <w:lvlJc w:val="left"/>
      <w:pPr>
        <w:tabs>
          <w:tab w:val="num" w:pos="5040"/>
        </w:tabs>
        <w:ind w:left="5040" w:hanging="360"/>
      </w:pPr>
      <w:rPr>
        <w:rFonts w:ascii="Symbol" w:hAnsi="Symbol"/>
      </w:rPr>
    </w:lvl>
    <w:lvl w:ilvl="7" w:tplc="C07AA8B6">
      <w:start w:val="1"/>
      <w:numFmt w:val="bullet"/>
      <w:lvlText w:val="o"/>
      <w:lvlJc w:val="left"/>
      <w:pPr>
        <w:tabs>
          <w:tab w:val="num" w:pos="5760"/>
        </w:tabs>
        <w:ind w:left="5760" w:hanging="360"/>
      </w:pPr>
      <w:rPr>
        <w:rFonts w:ascii="Courier New" w:hAnsi="Courier New"/>
      </w:rPr>
    </w:lvl>
    <w:lvl w:ilvl="8" w:tplc="D4E6F548">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51126E2E">
      <w:start w:val="1"/>
      <w:numFmt w:val="bullet"/>
      <w:lvlText w:val=""/>
      <w:lvlJc w:val="left"/>
      <w:pPr>
        <w:ind w:left="720" w:hanging="360"/>
      </w:pPr>
      <w:rPr>
        <w:rFonts w:ascii="Symbol" w:hAnsi="Symbol"/>
      </w:rPr>
    </w:lvl>
    <w:lvl w:ilvl="1" w:tplc="6778C7D0">
      <w:start w:val="1"/>
      <w:numFmt w:val="bullet"/>
      <w:lvlText w:val="o"/>
      <w:lvlJc w:val="left"/>
      <w:pPr>
        <w:tabs>
          <w:tab w:val="num" w:pos="1440"/>
        </w:tabs>
        <w:ind w:left="1440" w:hanging="360"/>
      </w:pPr>
      <w:rPr>
        <w:rFonts w:ascii="Courier New" w:hAnsi="Courier New"/>
      </w:rPr>
    </w:lvl>
    <w:lvl w:ilvl="2" w:tplc="350C7F0A">
      <w:start w:val="1"/>
      <w:numFmt w:val="bullet"/>
      <w:lvlText w:val=""/>
      <w:lvlJc w:val="left"/>
      <w:pPr>
        <w:tabs>
          <w:tab w:val="num" w:pos="2160"/>
        </w:tabs>
        <w:ind w:left="2160" w:hanging="360"/>
      </w:pPr>
      <w:rPr>
        <w:rFonts w:ascii="Wingdings" w:hAnsi="Wingdings"/>
      </w:rPr>
    </w:lvl>
    <w:lvl w:ilvl="3" w:tplc="3496D648">
      <w:start w:val="1"/>
      <w:numFmt w:val="bullet"/>
      <w:lvlText w:val=""/>
      <w:lvlJc w:val="left"/>
      <w:pPr>
        <w:tabs>
          <w:tab w:val="num" w:pos="2880"/>
        </w:tabs>
        <w:ind w:left="2880" w:hanging="360"/>
      </w:pPr>
      <w:rPr>
        <w:rFonts w:ascii="Symbol" w:hAnsi="Symbol"/>
      </w:rPr>
    </w:lvl>
    <w:lvl w:ilvl="4" w:tplc="09B0EE02">
      <w:start w:val="1"/>
      <w:numFmt w:val="bullet"/>
      <w:lvlText w:val="o"/>
      <w:lvlJc w:val="left"/>
      <w:pPr>
        <w:tabs>
          <w:tab w:val="num" w:pos="3600"/>
        </w:tabs>
        <w:ind w:left="3600" w:hanging="360"/>
      </w:pPr>
      <w:rPr>
        <w:rFonts w:ascii="Courier New" w:hAnsi="Courier New"/>
      </w:rPr>
    </w:lvl>
    <w:lvl w:ilvl="5" w:tplc="84FAD9F4">
      <w:start w:val="1"/>
      <w:numFmt w:val="bullet"/>
      <w:lvlText w:val=""/>
      <w:lvlJc w:val="left"/>
      <w:pPr>
        <w:tabs>
          <w:tab w:val="num" w:pos="4320"/>
        </w:tabs>
        <w:ind w:left="4320" w:hanging="360"/>
      </w:pPr>
      <w:rPr>
        <w:rFonts w:ascii="Wingdings" w:hAnsi="Wingdings"/>
      </w:rPr>
    </w:lvl>
    <w:lvl w:ilvl="6" w:tplc="016E13A2">
      <w:start w:val="1"/>
      <w:numFmt w:val="bullet"/>
      <w:lvlText w:val=""/>
      <w:lvlJc w:val="left"/>
      <w:pPr>
        <w:tabs>
          <w:tab w:val="num" w:pos="5040"/>
        </w:tabs>
        <w:ind w:left="5040" w:hanging="360"/>
      </w:pPr>
      <w:rPr>
        <w:rFonts w:ascii="Symbol" w:hAnsi="Symbol"/>
      </w:rPr>
    </w:lvl>
    <w:lvl w:ilvl="7" w:tplc="6A220B42">
      <w:start w:val="1"/>
      <w:numFmt w:val="bullet"/>
      <w:lvlText w:val="o"/>
      <w:lvlJc w:val="left"/>
      <w:pPr>
        <w:tabs>
          <w:tab w:val="num" w:pos="5760"/>
        </w:tabs>
        <w:ind w:left="5760" w:hanging="360"/>
      </w:pPr>
      <w:rPr>
        <w:rFonts w:ascii="Courier New" w:hAnsi="Courier New"/>
      </w:rPr>
    </w:lvl>
    <w:lvl w:ilvl="8" w:tplc="4E9898B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932"/>
    <w:rsid w:val="00590EAF"/>
    <w:rsid w:val="00592AFD"/>
    <w:rsid w:val="00592B84"/>
    <w:rsid w:val="005A74D7"/>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E51FE"/>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0DA8"/>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317E"/>
    <w:rsid w:val="00EA5D4F"/>
    <w:rsid w:val="00EB6C56"/>
    <w:rsid w:val="00ED54E0"/>
    <w:rsid w:val="00ED66D3"/>
    <w:rsid w:val="00EE3A11"/>
    <w:rsid w:val="00EE4445"/>
    <w:rsid w:val="00F0047B"/>
    <w:rsid w:val="00F263FA"/>
    <w:rsid w:val="00F32397"/>
    <w:rsid w:val="00F40595"/>
    <w:rsid w:val="00F513A1"/>
    <w:rsid w:val="00F650F7"/>
    <w:rsid w:val="00F85C99"/>
    <w:rsid w:val="00F97AEE"/>
    <w:rsid w:val="00FA4811"/>
    <w:rsid w:val="00FA5EBC"/>
    <w:rsid w:val="00FC5D0F"/>
    <w:rsid w:val="00FD224A"/>
    <w:rsid w:val="00FD3476"/>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C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data.europa.eu/eli/reg_del/2020/11/o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row-eu-tbt@ec.europa.eu" TargetMode="External"/><Relationship Id="rId12" Type="http://schemas.openxmlformats.org/officeDocument/2006/relationships/hyperlink" Target="http://data.europa.eu/eli/reg/2017/542/oj" TargetMode="External"/><Relationship Id="rId17" Type="http://schemas.openxmlformats.org/officeDocument/2006/relationships/hyperlink" Target="https://members.wto.org/crnattachments/2020/TBT/EEC/20_3168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europa.eu/eli/reg/2017/542/o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footer" Target="footer3.xml"/><Relationship Id="rId10" Type="http://schemas.openxmlformats.org/officeDocument/2006/relationships/hyperlink" Target="http://eur-lex.europa.eu/LexUriServ/LexUriServ.do?uri=OJ:L:2008:353:0001:1355:EN: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ur-lex.europa.eu/LexUriServ/LexUriServ.do?uri=OJ:L:2008:353:0001:1355:EN:PDF" TargetMode="External"/><Relationship Id="rId14" Type="http://schemas.openxmlformats.org/officeDocument/2006/relationships/hyperlink" Target="http://data.europa.eu/eli/reg_del/2020/11/oj"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ED716A8A.dotm</Template>
  <TotalTime>2</TotalTime>
  <Pages>2</Pages>
  <Words>774</Words>
  <Characters>4692</Characters>
  <Application>Microsoft Office Word</Application>
  <DocSecurity>0</DocSecurity>
  <Lines>97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2020-05-12T07:31:00Z</dcterms:created>
  <dcterms:modified xsi:type="dcterms:W3CDTF">2020-05-12T08:04:00Z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a0506068-af74-4b14-b492-87fabba6d351</vt:lpwstr>
  </property>
  <property fmtid="{D5CDD505-2E9C-101B-9397-08002B2CF9AE}" pid="4" name="WTOCLASSIFICATION">
    <vt:lpwstr>WTO OFFICIAL</vt:lpwstr>
  </property>
</Properties>
</file>