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70A6F" w14:textId="77777777" w:rsidR="009239F7" w:rsidRPr="002F6A28" w:rsidRDefault="00983BF3" w:rsidP="002F6A28">
      <w:pPr>
        <w:pStyle w:val="Title"/>
        <w:rPr>
          <w:caps w:val="0"/>
          <w:kern w:val="0"/>
        </w:rPr>
      </w:pPr>
      <w:r w:rsidRPr="002F6A28">
        <w:rPr>
          <w:caps w:val="0"/>
          <w:kern w:val="0"/>
        </w:rPr>
        <w:t>NOTIFICATION</w:t>
      </w:r>
    </w:p>
    <w:p w14:paraId="22583073" w14:textId="77777777" w:rsidR="009239F7" w:rsidRPr="002F6A28" w:rsidRDefault="00983BF3" w:rsidP="002F6A28">
      <w:pPr>
        <w:jc w:val="center"/>
      </w:pPr>
      <w:r w:rsidRPr="002F6A28">
        <w:t>The following notification is being circulated in accordance with Article 10.6</w:t>
      </w:r>
    </w:p>
    <w:p w14:paraId="2C476373"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E31CC4" w14:paraId="11BB566E" w14:textId="77777777" w:rsidTr="0069259F">
        <w:tc>
          <w:tcPr>
            <w:tcW w:w="713" w:type="dxa"/>
            <w:tcBorders>
              <w:bottom w:val="single" w:sz="6" w:space="0" w:color="auto"/>
            </w:tcBorders>
            <w:shd w:val="clear" w:color="auto" w:fill="auto"/>
          </w:tcPr>
          <w:p w14:paraId="49BF0B0B" w14:textId="77777777" w:rsidR="00F85C99" w:rsidRPr="002F6A28" w:rsidRDefault="00983BF3" w:rsidP="002F6A28">
            <w:pPr>
              <w:spacing w:before="120" w:after="120"/>
              <w:jc w:val="left"/>
            </w:pPr>
            <w:r w:rsidRPr="002F6A28">
              <w:rPr>
                <w:b/>
              </w:rPr>
              <w:t>1.</w:t>
            </w:r>
          </w:p>
        </w:tc>
        <w:tc>
          <w:tcPr>
            <w:tcW w:w="8546" w:type="dxa"/>
            <w:tcBorders>
              <w:bottom w:val="single" w:sz="6" w:space="0" w:color="auto"/>
            </w:tcBorders>
            <w:shd w:val="clear" w:color="auto" w:fill="auto"/>
          </w:tcPr>
          <w:p w14:paraId="41177DC9" w14:textId="77777777" w:rsidR="00F85C99" w:rsidRPr="002F6A28" w:rsidRDefault="00983BF3"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14:paraId="3D416B3A" w14:textId="77777777" w:rsidR="00F85C99" w:rsidRPr="002F6A28" w:rsidRDefault="00983BF3"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E31CC4" w:rsidRPr="00983BF3" w14:paraId="07262A1E" w14:textId="77777777" w:rsidTr="0069259F">
        <w:tc>
          <w:tcPr>
            <w:tcW w:w="713" w:type="dxa"/>
            <w:tcBorders>
              <w:top w:val="single" w:sz="6" w:space="0" w:color="auto"/>
              <w:bottom w:val="single" w:sz="6" w:space="0" w:color="auto"/>
            </w:tcBorders>
            <w:shd w:val="clear" w:color="auto" w:fill="auto"/>
          </w:tcPr>
          <w:p w14:paraId="5AEF82F1" w14:textId="77777777" w:rsidR="00F85C99" w:rsidRPr="002F6A28" w:rsidRDefault="00983BF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17F2E3E" w14:textId="77777777" w:rsidR="00F85C99" w:rsidRPr="002F6A28" w:rsidRDefault="00983BF3"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14:paraId="771DE06E" w14:textId="77777777" w:rsidR="00F85C99" w:rsidRPr="002F6A28" w:rsidRDefault="00983BF3"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5037C8FB" w14:textId="20C52C20" w:rsidR="008819FA" w:rsidRPr="00AD0F9B" w:rsidRDefault="00983BF3" w:rsidP="00AA646C">
            <w:pPr>
              <w:spacing w:after="120"/>
              <w:jc w:val="left"/>
              <w:rPr>
                <w:lang w:val="fr-CH"/>
              </w:rPr>
            </w:pPr>
            <w:proofErr w:type="spellStart"/>
            <w:r w:rsidRPr="00AD0F9B">
              <w:rPr>
                <w:lang w:val="fr-CH"/>
              </w:rPr>
              <w:t>European</w:t>
            </w:r>
            <w:proofErr w:type="spellEnd"/>
            <w:r w:rsidRPr="00AD0F9B">
              <w:rPr>
                <w:lang w:val="fr-CH"/>
              </w:rPr>
              <w:t xml:space="preserve"> Commission</w:t>
            </w:r>
            <w:r w:rsidRPr="00AD0F9B">
              <w:rPr>
                <w:lang w:val="fr-CH"/>
              </w:rPr>
              <w:br/>
              <w:t>EU-</w:t>
            </w:r>
            <w:proofErr w:type="spellStart"/>
            <w:r w:rsidRPr="00AD0F9B">
              <w:rPr>
                <w:lang w:val="fr-CH"/>
              </w:rPr>
              <w:t>TBT</w:t>
            </w:r>
            <w:proofErr w:type="spellEnd"/>
            <w:r w:rsidRPr="00AD0F9B">
              <w:rPr>
                <w:lang w:val="fr-CH"/>
              </w:rPr>
              <w:t xml:space="preserve"> </w:t>
            </w:r>
            <w:proofErr w:type="spellStart"/>
            <w:r w:rsidRPr="00AD0F9B">
              <w:rPr>
                <w:lang w:val="fr-CH"/>
              </w:rPr>
              <w:t>Enquiry</w:t>
            </w:r>
            <w:proofErr w:type="spellEnd"/>
            <w:r w:rsidRPr="00AD0F9B">
              <w:rPr>
                <w:lang w:val="fr-CH"/>
              </w:rPr>
              <w:t xml:space="preserve"> Point</w:t>
            </w:r>
            <w:r w:rsidRPr="00AD0F9B">
              <w:rPr>
                <w:lang w:val="fr-CH"/>
              </w:rPr>
              <w:br/>
              <w:t>Fax: +(32) 2 299 80 43</w:t>
            </w:r>
            <w:r w:rsidRPr="00AD0F9B">
              <w:rPr>
                <w:lang w:val="fr-CH"/>
              </w:rPr>
              <w:br/>
              <w:t xml:space="preserve">E-mail: </w:t>
            </w:r>
            <w:hyperlink r:id="rId7" w:history="1">
              <w:r w:rsidRPr="00AD0F9B">
                <w:rPr>
                  <w:color w:val="0000FF"/>
                  <w:u w:val="single"/>
                  <w:lang w:val="fr-CH"/>
                </w:rPr>
                <w:t>grow-eu-tbt@ec.europa.eu</w:t>
              </w:r>
            </w:hyperlink>
            <w:r w:rsidRPr="00AD0F9B">
              <w:rPr>
                <w:lang w:val="fr-CH"/>
              </w:rPr>
              <w:br/>
            </w:r>
            <w:proofErr w:type="spellStart"/>
            <w:r w:rsidRPr="00AD0F9B">
              <w:rPr>
                <w:lang w:val="fr-CH"/>
              </w:rPr>
              <w:t>Website</w:t>
            </w:r>
            <w:proofErr w:type="spellEnd"/>
            <w:r w:rsidRPr="00AD0F9B">
              <w:rPr>
                <w:lang w:val="fr-CH"/>
              </w:rPr>
              <w:t xml:space="preserve">: </w:t>
            </w:r>
            <w:hyperlink r:id="rId8" w:history="1">
              <w:r w:rsidRPr="00AD0F9B">
                <w:rPr>
                  <w:color w:val="0000FF"/>
                  <w:u w:val="single"/>
                  <w:lang w:val="fr-CH"/>
                </w:rPr>
                <w:t>http://ec.europa.eu/growth/tools-databases/tbt/en</w:t>
              </w:r>
            </w:hyperlink>
            <w:r w:rsidRPr="00AD0F9B">
              <w:rPr>
                <w:lang w:val="fr-CH"/>
              </w:rPr>
              <w:t xml:space="preserve"> </w:t>
            </w:r>
            <w:bookmarkEnd w:id="7"/>
          </w:p>
        </w:tc>
      </w:tr>
      <w:tr w:rsidR="00E31CC4" w14:paraId="0438E4BB" w14:textId="77777777" w:rsidTr="0069259F">
        <w:tc>
          <w:tcPr>
            <w:tcW w:w="713" w:type="dxa"/>
            <w:tcBorders>
              <w:top w:val="single" w:sz="6" w:space="0" w:color="auto"/>
              <w:bottom w:val="single" w:sz="6" w:space="0" w:color="auto"/>
            </w:tcBorders>
            <w:shd w:val="clear" w:color="auto" w:fill="auto"/>
          </w:tcPr>
          <w:p w14:paraId="5E2A67B6" w14:textId="77777777" w:rsidR="00F85C99" w:rsidRPr="002F6A28" w:rsidRDefault="00983BF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BD98E68" w14:textId="77777777" w:rsidR="00F85C99" w:rsidRPr="0058336F" w:rsidRDefault="00983BF3"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E31CC4" w14:paraId="65DE06B0" w14:textId="77777777" w:rsidTr="0069259F">
        <w:tc>
          <w:tcPr>
            <w:tcW w:w="713" w:type="dxa"/>
            <w:tcBorders>
              <w:top w:val="single" w:sz="6" w:space="0" w:color="auto"/>
              <w:bottom w:val="single" w:sz="6" w:space="0" w:color="auto"/>
            </w:tcBorders>
            <w:shd w:val="clear" w:color="auto" w:fill="auto"/>
          </w:tcPr>
          <w:p w14:paraId="15AB8F36" w14:textId="77777777" w:rsidR="00F85C99" w:rsidRPr="002F6A28" w:rsidRDefault="00983BF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1A1C3B6" w14:textId="77777777" w:rsidR="00F85C99" w:rsidRPr="002F6A28" w:rsidRDefault="00983BF3" w:rsidP="002F6A28">
            <w:pPr>
              <w:spacing w:before="120" w:after="120"/>
            </w:pPr>
            <w:bookmarkStart w:id="19"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9"/>
            <w:r w:rsidRPr="002F6A28">
              <w:rPr>
                <w:b/>
              </w:rPr>
              <w:t>:</w:t>
            </w:r>
            <w:r w:rsidR="00EE3A11" w:rsidRPr="00C379C8">
              <w:t xml:space="preserve"> Recently classified carcinogenic, mutagenic and reproductive toxicants (</w:t>
            </w:r>
            <w:proofErr w:type="spellStart"/>
            <w:r w:rsidR="00EE3A11" w:rsidRPr="00C379C8">
              <w:t>CMR</w:t>
            </w:r>
            <w:proofErr w:type="spellEnd"/>
            <w:r w:rsidR="00EE3A11" w:rsidRPr="00C379C8">
              <w:t xml:space="preserve">) category 1A and 1B as substances on their own, as constituents of other substances or in mixtures that are placed on the market or used for supply to the general public, devices covered by EU Regulation 2017/745 on medical devices, persistent organic pollutants, certain liquid substances or mixtures, nonylphenol, </w:t>
            </w:r>
            <w:proofErr w:type="spellStart"/>
            <w:r w:rsidR="00EE3A11" w:rsidRPr="00C379C8">
              <w:t>azocolourants</w:t>
            </w:r>
            <w:proofErr w:type="spellEnd"/>
            <w:r w:rsidR="00EE3A11" w:rsidRPr="00C379C8">
              <w:t>.</w:t>
            </w:r>
            <w:bookmarkStart w:id="20" w:name="sps3a"/>
            <w:bookmarkEnd w:id="20"/>
          </w:p>
        </w:tc>
      </w:tr>
      <w:tr w:rsidR="00E31CC4" w14:paraId="6741AADB" w14:textId="77777777" w:rsidTr="0069259F">
        <w:tc>
          <w:tcPr>
            <w:tcW w:w="713" w:type="dxa"/>
            <w:tcBorders>
              <w:top w:val="single" w:sz="6" w:space="0" w:color="auto"/>
              <w:bottom w:val="single" w:sz="6" w:space="0" w:color="auto"/>
            </w:tcBorders>
            <w:shd w:val="clear" w:color="auto" w:fill="auto"/>
          </w:tcPr>
          <w:p w14:paraId="11B38B98" w14:textId="77777777" w:rsidR="00F85C99" w:rsidRPr="002F6A28" w:rsidRDefault="00983BF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FFF1126" w14:textId="77777777" w:rsidR="00F85C99" w:rsidRPr="002F6A28" w:rsidRDefault="00983BF3"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Commission Regulation amending Annex XVII to Regulation (EC) No 1907/2006 of the European Parliament and of the Council concerning the Registration, Evaluation, Authorisation and Restriction of Chemicals (REACH), as regards carcinogenic, mutagenic or reproductive toxicant (</w:t>
            </w:r>
            <w:proofErr w:type="spellStart"/>
            <w:r w:rsidR="00EE3A11" w:rsidRPr="00C379C8">
              <w:t>CMR</w:t>
            </w:r>
            <w:proofErr w:type="spellEnd"/>
            <w:r w:rsidR="00EE3A11" w:rsidRPr="00C379C8">
              <w:t xml:space="preserve">) substances, devices covered by Regulation (EU) 2017/745 of the European Parliament and of the Council, persistent organic pollutants, certain liquid substances or mixtures, nonylphenol and testing methods for </w:t>
            </w:r>
            <w:proofErr w:type="spellStart"/>
            <w:r w:rsidR="00EE3A11" w:rsidRPr="00C379C8">
              <w:t>azocolourants</w:t>
            </w:r>
            <w:proofErr w:type="spellEnd"/>
            <w:r w:rsidR="00EE3A11" w:rsidRPr="00C379C8">
              <w:t xml:space="preserve"> (5 page(s), in English; 4 page(s), in English)</w:t>
            </w:r>
            <w:bookmarkStart w:id="22" w:name="sps5a"/>
            <w:bookmarkStart w:id="23" w:name="sps5c"/>
            <w:bookmarkStart w:id="24" w:name="sps5b"/>
            <w:bookmarkEnd w:id="22"/>
            <w:bookmarkEnd w:id="23"/>
            <w:bookmarkEnd w:id="24"/>
          </w:p>
        </w:tc>
      </w:tr>
      <w:tr w:rsidR="00E31CC4" w14:paraId="236A85A3" w14:textId="77777777" w:rsidTr="0069259F">
        <w:tc>
          <w:tcPr>
            <w:tcW w:w="713" w:type="dxa"/>
            <w:tcBorders>
              <w:top w:val="single" w:sz="6" w:space="0" w:color="auto"/>
              <w:bottom w:val="single" w:sz="6" w:space="0" w:color="auto"/>
            </w:tcBorders>
            <w:shd w:val="clear" w:color="auto" w:fill="auto"/>
          </w:tcPr>
          <w:p w14:paraId="5D447B68" w14:textId="77777777" w:rsidR="00F85C99" w:rsidRPr="002F6A28" w:rsidRDefault="00983BF3" w:rsidP="00983BF3">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14:paraId="273F3B8B" w14:textId="77777777" w:rsidR="00F85C99" w:rsidRPr="002F6A28" w:rsidRDefault="00983BF3" w:rsidP="00983BF3">
            <w:pPr>
              <w:spacing w:before="120" w:after="120"/>
              <w:rPr>
                <w:b/>
              </w:rPr>
            </w:pPr>
            <w:bookmarkStart w:id="25" w:name="X_TBT_Reg_6A"/>
            <w:r w:rsidRPr="002F6A28">
              <w:rPr>
                <w:b/>
              </w:rPr>
              <w:t>Description of content</w:t>
            </w:r>
            <w:bookmarkEnd w:id="25"/>
            <w:r w:rsidRPr="002F6A28">
              <w:rPr>
                <w:b/>
              </w:rPr>
              <w:t>:</w:t>
            </w:r>
            <w:r w:rsidR="00FE448B" w:rsidRPr="00C379C8">
              <w:t xml:space="preserve"> In the first place, this draft Commission Regulation aims to include within the scope of entries 28 to 30 of Annex XVII to Regulation (EC) No</w:t>
            </w:r>
            <w:r w:rsidR="00AD0F9B">
              <w:t> </w:t>
            </w:r>
            <w:r w:rsidR="00FE448B" w:rsidRPr="00C379C8">
              <w:t xml:space="preserve">1907/2006 several substances, with the effect of restricting their placing on the market or use for supply to the general public as substances on their own, as constituents of other substances or in mixtures and to impose the requirement to mark packaging with the label "restricted to professional users". This is consequent on the recent classification of these substances as </w:t>
            </w:r>
            <w:proofErr w:type="spellStart"/>
            <w:r w:rsidR="00FE448B" w:rsidRPr="00C379C8">
              <w:t>CMR</w:t>
            </w:r>
            <w:proofErr w:type="spellEnd"/>
            <w:r w:rsidR="00FE448B" w:rsidRPr="00C379C8">
              <w:t xml:space="preserve"> category 1A or 1B under Regulation (EC) No 1272/2008 of the European Parliament and of the Council of 16 December 2008 on classification, labelling and packaging of substances and mixtures, as amended by Commission Regulation (EU)</w:t>
            </w:r>
            <w:r w:rsidR="00AD0F9B">
              <w:t> </w:t>
            </w:r>
            <w:r w:rsidR="00FE448B" w:rsidRPr="00C379C8">
              <w:t>2018/1480 and Commission Delegated Regulation (EU) 2020/217.</w:t>
            </w:r>
          </w:p>
          <w:p w14:paraId="3FDC1984" w14:textId="77777777" w:rsidR="00FE448B" w:rsidRPr="00C379C8" w:rsidRDefault="00983BF3" w:rsidP="00983BF3">
            <w:pPr>
              <w:spacing w:after="120"/>
            </w:pPr>
            <w:r w:rsidRPr="00C379C8">
              <w:t>Moreover, this draft Commission Regulation aims to:</w:t>
            </w:r>
          </w:p>
          <w:p w14:paraId="79CBA482" w14:textId="77777777" w:rsidR="00FE448B" w:rsidRPr="00C379C8" w:rsidRDefault="00983BF3" w:rsidP="00983BF3">
            <w:pPr>
              <w:keepLines/>
              <w:numPr>
                <w:ilvl w:val="0"/>
                <w:numId w:val="16"/>
              </w:numPr>
              <w:spacing w:before="120" w:after="120"/>
              <w:ind w:left="714" w:hanging="357"/>
            </w:pPr>
            <w:r w:rsidRPr="00C379C8">
              <w:t xml:space="preserve">delete three entries from Annex XVII to the REACH Regulation, as the substances </w:t>
            </w:r>
            <w:r w:rsidRPr="00C379C8">
              <w:lastRenderedPageBreak/>
              <w:t>concerned have been, or are about to be, incorporated into Regulation 2019/2012 on persistent organic pollutants;</w:t>
            </w:r>
          </w:p>
          <w:p w14:paraId="1472FAFA" w14:textId="77777777" w:rsidR="00FE448B" w:rsidRPr="00C379C8" w:rsidRDefault="00983BF3" w:rsidP="00983BF3">
            <w:pPr>
              <w:numPr>
                <w:ilvl w:val="0"/>
                <w:numId w:val="16"/>
              </w:numPr>
              <w:spacing w:before="120" w:after="120"/>
            </w:pPr>
            <w:r w:rsidRPr="00C379C8">
              <w:t>include an exemption, from the aforementioned entries 28 to 30, for devices covered by Regulation (EU) 2017/745 on medical devices;</w:t>
            </w:r>
          </w:p>
          <w:p w14:paraId="1A130417" w14:textId="77777777" w:rsidR="00FE448B" w:rsidRPr="00C379C8" w:rsidRDefault="00983BF3" w:rsidP="00983BF3">
            <w:pPr>
              <w:numPr>
                <w:ilvl w:val="0"/>
                <w:numId w:val="16"/>
              </w:numPr>
              <w:spacing w:before="120" w:after="120"/>
            </w:pPr>
            <w:r w:rsidRPr="00C379C8">
              <w:t>delete an obsolete paragraph mandating a review of the restriction on liquid substances or mixtures;</w:t>
            </w:r>
          </w:p>
          <w:p w14:paraId="6690B3D4" w14:textId="77777777" w:rsidR="00FE448B" w:rsidRPr="00C379C8" w:rsidRDefault="00983BF3" w:rsidP="00983BF3">
            <w:pPr>
              <w:numPr>
                <w:ilvl w:val="0"/>
                <w:numId w:val="16"/>
              </w:numPr>
              <w:spacing w:before="120" w:after="120"/>
            </w:pPr>
            <w:r w:rsidRPr="00C379C8">
              <w:t>delete obsolete references to "R phrases" from the restriction on liquid substances or mixtures;</w:t>
            </w:r>
          </w:p>
          <w:p w14:paraId="584FC52C" w14:textId="77777777" w:rsidR="00FE448B" w:rsidRPr="00C379C8" w:rsidRDefault="00983BF3" w:rsidP="00983BF3">
            <w:pPr>
              <w:numPr>
                <w:ilvl w:val="0"/>
                <w:numId w:val="16"/>
              </w:numPr>
              <w:spacing w:before="120" w:after="120"/>
            </w:pPr>
            <w:r w:rsidRPr="00C379C8">
              <w:t xml:space="preserve">delete obsolete references to </w:t>
            </w:r>
            <w:proofErr w:type="spellStart"/>
            <w:r w:rsidRPr="00C379C8">
              <w:t>CMR</w:t>
            </w:r>
            <w:proofErr w:type="spellEnd"/>
            <w:r w:rsidRPr="00C379C8">
              <w:t xml:space="preserve"> classifications under Directive 67/548 from the titles of Appendixes 1-6 of Annex XVII;</w:t>
            </w:r>
          </w:p>
          <w:p w14:paraId="074C1E2D" w14:textId="77777777" w:rsidR="00FE448B" w:rsidRPr="00C379C8" w:rsidRDefault="00983BF3" w:rsidP="00983BF3">
            <w:pPr>
              <w:numPr>
                <w:ilvl w:val="0"/>
                <w:numId w:val="16"/>
              </w:numPr>
              <w:spacing w:before="120" w:after="120"/>
            </w:pPr>
            <w:r w:rsidRPr="00C379C8">
              <w:t xml:space="preserve">update the references to testing methods for </w:t>
            </w:r>
            <w:proofErr w:type="spellStart"/>
            <w:r w:rsidRPr="00C379C8">
              <w:t>azocolourants</w:t>
            </w:r>
            <w:proofErr w:type="spellEnd"/>
            <w:r w:rsidRPr="00C379C8">
              <w:t xml:space="preserve"> in Appendix 10 of Annex XVII, to reflect technical progress;</w:t>
            </w:r>
          </w:p>
          <w:p w14:paraId="0E2E5B20" w14:textId="77777777" w:rsidR="00FE448B" w:rsidRPr="00C379C8" w:rsidRDefault="00983BF3" w:rsidP="00983BF3">
            <w:pPr>
              <w:numPr>
                <w:ilvl w:val="0"/>
                <w:numId w:val="16"/>
              </w:numPr>
              <w:spacing w:before="120" w:after="120"/>
            </w:pPr>
            <w:r w:rsidRPr="00C379C8">
              <w:t>and finally delete the CAS and EC numbers from entry 46 of Annex XVII, as their inclusion, in 2009, inadvertently reduced the scope of this entry, and the original intention of the legislator should be reflected again. </w:t>
            </w:r>
          </w:p>
        </w:tc>
      </w:tr>
      <w:tr w:rsidR="00E31CC4" w14:paraId="2904EB32" w14:textId="77777777" w:rsidTr="0069259F">
        <w:tc>
          <w:tcPr>
            <w:tcW w:w="713" w:type="dxa"/>
            <w:tcBorders>
              <w:top w:val="single" w:sz="6" w:space="0" w:color="auto"/>
              <w:bottom w:val="single" w:sz="6" w:space="0" w:color="auto"/>
            </w:tcBorders>
            <w:shd w:val="clear" w:color="auto" w:fill="auto"/>
          </w:tcPr>
          <w:p w14:paraId="48957BBB" w14:textId="77777777" w:rsidR="00F85C99" w:rsidRPr="002F6A28" w:rsidRDefault="00983BF3"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29B893A5" w14:textId="77777777" w:rsidR="00F85C99" w:rsidRPr="002F6A28" w:rsidRDefault="00983BF3"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abovementioned substances recently received new harmonised classifications as </w:t>
            </w:r>
            <w:proofErr w:type="spellStart"/>
            <w:r w:rsidR="00EE3A11" w:rsidRPr="00C379C8">
              <w:t>CMR</w:t>
            </w:r>
            <w:proofErr w:type="spellEnd"/>
            <w:r w:rsidR="00EE3A11" w:rsidRPr="00C379C8">
              <w:t xml:space="preserve"> category 1A or 1B. In accordance with Article 68(2) of Regulation (EC) 1907/2006 (REACH), the Commission may propose a restriction on the use of these substances and mixtures containing them by consumers. The other proposed changes aim to increase legal clarity and consistency, facilitate implementation and/or avoid double regulation.</w:t>
            </w:r>
            <w:bookmarkStart w:id="27" w:name="sps7f"/>
            <w:bookmarkEnd w:id="27"/>
          </w:p>
        </w:tc>
      </w:tr>
      <w:tr w:rsidR="00E31CC4" w14:paraId="389C873B" w14:textId="77777777" w:rsidTr="0069259F">
        <w:tc>
          <w:tcPr>
            <w:tcW w:w="713" w:type="dxa"/>
            <w:tcBorders>
              <w:top w:val="single" w:sz="6" w:space="0" w:color="auto"/>
              <w:bottom w:val="single" w:sz="6" w:space="0" w:color="auto"/>
            </w:tcBorders>
            <w:shd w:val="clear" w:color="auto" w:fill="auto"/>
          </w:tcPr>
          <w:p w14:paraId="3CBFB73A" w14:textId="77777777" w:rsidR="00F85C99" w:rsidRPr="002F6A28" w:rsidRDefault="00983BF3"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21E512A6" w14:textId="77777777" w:rsidR="00072B36" w:rsidRPr="002F6A28" w:rsidRDefault="00983BF3"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6C093754" w14:textId="77777777" w:rsidR="008819FA" w:rsidRPr="00AD0F9B" w:rsidRDefault="00983BF3" w:rsidP="00AD0F9B">
            <w:pPr>
              <w:numPr>
                <w:ilvl w:val="0"/>
                <w:numId w:val="17"/>
              </w:numPr>
              <w:spacing w:before="120" w:after="120"/>
              <w:jc w:val="left"/>
              <w:rPr>
                <w:bCs/>
              </w:rPr>
            </w:pPr>
            <w:r w:rsidRPr="002F6A28">
              <w:rPr>
                <w:bCs/>
              </w:rPr>
              <w:t>Regulation (EC) No 1907/2006 of the European Parliament and of the Council on the  Registration, Evaluation, Authorisation and Restriction of Chemicals (REACH Regulation): </w:t>
            </w:r>
            <w:hyperlink r:id="rId9" w:history="1">
              <w:r w:rsidRPr="00AD0F9B">
                <w:rPr>
                  <w:bCs/>
                  <w:color w:val="0000FF"/>
                  <w:u w:val="single"/>
                </w:rPr>
                <w:t>http://eur-lex.europa.eu/legal-content/EN/TXT/?qid=1423064258789&amp;uri=CELEX:32006R1907</w:t>
              </w:r>
            </w:hyperlink>
          </w:p>
        </w:tc>
      </w:tr>
      <w:tr w:rsidR="00E31CC4" w14:paraId="0D1ED677" w14:textId="77777777" w:rsidTr="00AE6CC8">
        <w:trPr>
          <w:cantSplit/>
        </w:trPr>
        <w:tc>
          <w:tcPr>
            <w:tcW w:w="713" w:type="dxa"/>
            <w:tcBorders>
              <w:top w:val="single" w:sz="6" w:space="0" w:color="auto"/>
              <w:bottom w:val="single" w:sz="6" w:space="0" w:color="auto"/>
            </w:tcBorders>
            <w:shd w:val="clear" w:color="auto" w:fill="auto"/>
          </w:tcPr>
          <w:p w14:paraId="67FCA3B2" w14:textId="77777777" w:rsidR="00EE3A11" w:rsidRPr="002F6A28" w:rsidRDefault="00983BF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6220C585" w14:textId="77777777" w:rsidR="00EE3A11" w:rsidRPr="002F6A28" w:rsidRDefault="00983BF3"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4</w:t>
            </w:r>
            <w:r w:rsidRPr="00AD0F9B">
              <w:rPr>
                <w:vertAlign w:val="superscript"/>
              </w:rPr>
              <w:t>th</w:t>
            </w:r>
            <w:r w:rsidRPr="002F6A28">
              <w:t xml:space="preserve"> quarter of 2020</w:t>
            </w:r>
            <w:bookmarkEnd w:id="31"/>
          </w:p>
          <w:p w14:paraId="1E4661B3" w14:textId="77777777" w:rsidR="00EE3A11" w:rsidRPr="002F6A28" w:rsidRDefault="00983BF3"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20 days from publication in the Official Journal of the</w:t>
            </w:r>
            <w:r>
              <w:t> </w:t>
            </w:r>
            <w:r w:rsidRPr="002F6A28">
              <w:t xml:space="preserve">EU. The provisions will apply from different deadlines in accordance with Article 2(2) of the Act. </w:t>
            </w:r>
            <w:bookmarkEnd w:id="34"/>
          </w:p>
        </w:tc>
      </w:tr>
      <w:tr w:rsidR="00E31CC4" w14:paraId="12421893" w14:textId="77777777" w:rsidTr="0069259F">
        <w:tc>
          <w:tcPr>
            <w:tcW w:w="713" w:type="dxa"/>
            <w:tcBorders>
              <w:top w:val="single" w:sz="6" w:space="0" w:color="auto"/>
              <w:bottom w:val="single" w:sz="6" w:space="0" w:color="auto"/>
            </w:tcBorders>
            <w:shd w:val="clear" w:color="auto" w:fill="auto"/>
          </w:tcPr>
          <w:p w14:paraId="73163CD0" w14:textId="77777777" w:rsidR="00F85C99" w:rsidRPr="002F6A28" w:rsidRDefault="00983BF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727F07F" w14:textId="77777777" w:rsidR="00F85C99" w:rsidRPr="002F6A28" w:rsidRDefault="00983BF3"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E31CC4" w14:paraId="00E8D720" w14:textId="77777777" w:rsidTr="0069259F">
        <w:tc>
          <w:tcPr>
            <w:tcW w:w="713" w:type="dxa"/>
            <w:tcBorders>
              <w:top w:val="single" w:sz="6" w:space="0" w:color="auto"/>
            </w:tcBorders>
            <w:shd w:val="clear" w:color="auto" w:fill="auto"/>
          </w:tcPr>
          <w:p w14:paraId="0CB56A1D" w14:textId="77777777" w:rsidR="00F85C99" w:rsidRPr="002F6A28" w:rsidRDefault="00983BF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6B4A28B" w14:textId="77777777" w:rsidR="00F85C99" w:rsidRPr="002F6A28" w:rsidRDefault="00983BF3"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7ACC7753" w14:textId="49068DE8" w:rsidR="008819FA" w:rsidRPr="002F6A28" w:rsidRDefault="00983BF3" w:rsidP="00B16145">
            <w:pPr>
              <w:keepNext/>
              <w:keepLines/>
              <w:spacing w:before="120" w:after="120"/>
              <w:jc w:val="left"/>
            </w:pPr>
            <w:r w:rsidRPr="002F6A28">
              <w:t>European Commission</w:t>
            </w:r>
            <w:r w:rsidRPr="002F6A28">
              <w:br/>
              <w:t>EU-TBT Enquiry Point</w:t>
            </w:r>
            <w:r w:rsidRPr="002F6A28">
              <w:br/>
              <w:t>Fax: + (32) 2 299 80 43</w:t>
            </w:r>
            <w:r w:rsidRPr="002F6A28">
              <w:br/>
              <w:t xml:space="preserve">E-mail: </w:t>
            </w:r>
            <w:hyperlink r:id="rId10" w:history="1">
              <w:r w:rsidRPr="002F6A28">
                <w:rPr>
                  <w:color w:val="0000FF"/>
                  <w:u w:val="single"/>
                </w:rPr>
                <w:t>grow-eu-tbt@ec.europa.eu</w:t>
              </w:r>
            </w:hyperlink>
            <w:r w:rsidRPr="002F6A28">
              <w:br/>
              <w:t xml:space="preserve">The text is available on the EU-TBT Website: </w:t>
            </w:r>
            <w:hyperlink r:id="rId11" w:history="1">
              <w:r w:rsidRPr="002F6A28">
                <w:rPr>
                  <w:color w:val="0000FF"/>
                  <w:u w:val="single"/>
                </w:rPr>
                <w:t>http://ec</w:t>
              </w:r>
              <w:r w:rsidRPr="002F6A28">
                <w:rPr>
                  <w:color w:val="0000FF"/>
                  <w:u w:val="single"/>
                </w:rPr>
                <w:t>.</w:t>
              </w:r>
              <w:r w:rsidRPr="002F6A28">
                <w:rPr>
                  <w:color w:val="0000FF"/>
                  <w:u w:val="single"/>
                </w:rPr>
                <w:t>europa.eu/growth/tools-databases/tbt/en</w:t>
              </w:r>
            </w:hyperlink>
          </w:p>
          <w:p w14:paraId="110A9A46" w14:textId="77777777" w:rsidR="00AD0F9B" w:rsidRDefault="00013714" w:rsidP="00B16145">
            <w:pPr>
              <w:keepNext/>
              <w:keepLines/>
              <w:spacing w:before="120" w:after="120"/>
              <w:jc w:val="left"/>
            </w:pPr>
            <w:hyperlink r:id="rId12" w:history="1">
              <w:r w:rsidR="00983BF3" w:rsidRPr="002F6A28">
                <w:rPr>
                  <w:color w:val="0000FF"/>
                  <w:u w:val="single"/>
                </w:rPr>
                <w:t>https://members.wto.org/crnattachments/2020/TBT/EEC/20_2866_00_e</w:t>
              </w:r>
              <w:r w:rsidR="00983BF3" w:rsidRPr="002F6A28">
                <w:rPr>
                  <w:color w:val="0000FF"/>
                  <w:u w:val="single"/>
                </w:rPr>
                <w:t>.</w:t>
              </w:r>
              <w:r w:rsidR="00983BF3" w:rsidRPr="002F6A28">
                <w:rPr>
                  <w:color w:val="0000FF"/>
                  <w:u w:val="single"/>
                </w:rPr>
                <w:t>pdf</w:t>
              </w:r>
            </w:hyperlink>
          </w:p>
          <w:p w14:paraId="5ECD314A" w14:textId="77777777" w:rsidR="008819FA" w:rsidRPr="002F6A28" w:rsidRDefault="00013714" w:rsidP="00B16145">
            <w:pPr>
              <w:keepNext/>
              <w:keepLines/>
              <w:spacing w:before="120" w:after="120"/>
              <w:jc w:val="left"/>
            </w:pPr>
            <w:hyperlink r:id="rId13" w:history="1">
              <w:r w:rsidR="00983BF3" w:rsidRPr="002F6A28">
                <w:rPr>
                  <w:color w:val="0000FF"/>
                  <w:u w:val="single"/>
                </w:rPr>
                <w:t>https://members.wto.org/crnattachments/2020/TBT/EEC/20_2866_01_</w:t>
              </w:r>
              <w:bookmarkStart w:id="41" w:name="_GoBack"/>
              <w:bookmarkEnd w:id="41"/>
              <w:r w:rsidR="00983BF3" w:rsidRPr="002F6A28">
                <w:rPr>
                  <w:color w:val="0000FF"/>
                  <w:u w:val="single"/>
                </w:rPr>
                <w:t>e</w:t>
              </w:r>
              <w:r w:rsidR="00983BF3" w:rsidRPr="002F6A28">
                <w:rPr>
                  <w:color w:val="0000FF"/>
                  <w:u w:val="single"/>
                </w:rPr>
                <w:t>.pdf</w:t>
              </w:r>
            </w:hyperlink>
            <w:bookmarkEnd w:id="40"/>
          </w:p>
        </w:tc>
      </w:tr>
    </w:tbl>
    <w:p w14:paraId="7F91A809" w14:textId="77777777"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392E6" w14:textId="77777777" w:rsidR="001040FA" w:rsidRDefault="00983BF3">
      <w:r>
        <w:separator/>
      </w:r>
    </w:p>
  </w:endnote>
  <w:endnote w:type="continuationSeparator" w:id="0">
    <w:p w14:paraId="0D57BAD5" w14:textId="77777777" w:rsidR="001040FA" w:rsidRDefault="0098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38875" w14:textId="77777777" w:rsidR="009239F7" w:rsidRPr="002F6A28" w:rsidRDefault="00983BF3"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E370B" w14:textId="77777777" w:rsidR="009239F7" w:rsidRPr="002F6A28" w:rsidRDefault="00983BF3"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FB4CE" w14:textId="77777777" w:rsidR="00EE3A11" w:rsidRPr="002F6A28" w:rsidRDefault="00983BF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85111" w14:textId="77777777" w:rsidR="001040FA" w:rsidRDefault="00983BF3">
      <w:r>
        <w:separator/>
      </w:r>
    </w:p>
  </w:footnote>
  <w:footnote w:type="continuationSeparator" w:id="0">
    <w:p w14:paraId="37047FE8" w14:textId="77777777" w:rsidR="001040FA" w:rsidRDefault="00983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499F5" w14:textId="77777777" w:rsidR="009239F7" w:rsidRPr="002F6A28" w:rsidRDefault="00983BF3" w:rsidP="009239F7">
    <w:pPr>
      <w:pStyle w:val="Header"/>
      <w:pBdr>
        <w:bottom w:val="single" w:sz="4" w:space="1" w:color="auto"/>
      </w:pBdr>
      <w:tabs>
        <w:tab w:val="clear" w:pos="4513"/>
        <w:tab w:val="clear" w:pos="9027"/>
      </w:tabs>
      <w:jc w:val="center"/>
    </w:pPr>
    <w:proofErr w:type="spellStart"/>
    <w:r w:rsidRPr="002F6A28">
      <w:t>tbtSymbol</w:t>
    </w:r>
    <w:proofErr w:type="spellEnd"/>
  </w:p>
  <w:p w14:paraId="1D4315A9" w14:textId="77777777" w:rsidR="009239F7" w:rsidRPr="002F6A28" w:rsidRDefault="009239F7" w:rsidP="009239F7">
    <w:pPr>
      <w:pStyle w:val="Header"/>
      <w:pBdr>
        <w:bottom w:val="single" w:sz="4" w:space="1" w:color="auto"/>
      </w:pBdr>
      <w:tabs>
        <w:tab w:val="clear" w:pos="4513"/>
        <w:tab w:val="clear" w:pos="9027"/>
      </w:tabs>
      <w:jc w:val="center"/>
    </w:pPr>
  </w:p>
  <w:p w14:paraId="31A2BD14" w14:textId="77777777" w:rsidR="009239F7" w:rsidRPr="002F6A28" w:rsidRDefault="00983BF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B3C6315"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A6456" w14:textId="77777777" w:rsidR="009239F7" w:rsidRPr="002F6A28" w:rsidRDefault="00983BF3" w:rsidP="009239F7">
    <w:pPr>
      <w:pStyle w:val="Header"/>
      <w:pBdr>
        <w:bottom w:val="single" w:sz="4" w:space="1" w:color="auto"/>
      </w:pBdr>
      <w:tabs>
        <w:tab w:val="clear" w:pos="4513"/>
        <w:tab w:val="clear" w:pos="9027"/>
      </w:tabs>
      <w:jc w:val="center"/>
    </w:pPr>
    <w:bookmarkStart w:id="42" w:name="spsSymbolHeader"/>
    <w:r w:rsidRPr="002F6A28">
      <w:t>G/TBT/N/EU/714</w:t>
    </w:r>
    <w:bookmarkEnd w:id="42"/>
  </w:p>
  <w:p w14:paraId="3ED82A2F" w14:textId="77777777" w:rsidR="009239F7" w:rsidRPr="002F6A28" w:rsidRDefault="009239F7" w:rsidP="009239F7">
    <w:pPr>
      <w:pStyle w:val="Header"/>
      <w:pBdr>
        <w:bottom w:val="single" w:sz="4" w:space="1" w:color="auto"/>
      </w:pBdr>
      <w:tabs>
        <w:tab w:val="clear" w:pos="4513"/>
        <w:tab w:val="clear" w:pos="9027"/>
      </w:tabs>
      <w:jc w:val="center"/>
    </w:pPr>
  </w:p>
  <w:p w14:paraId="05D718FB" w14:textId="77777777" w:rsidR="009239F7" w:rsidRPr="002F6A28" w:rsidRDefault="00983BF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7E608BC"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31CC4" w14:paraId="2F22B482" w14:textId="77777777" w:rsidTr="008612A9">
      <w:trPr>
        <w:trHeight w:val="240"/>
        <w:jc w:val="center"/>
      </w:trPr>
      <w:tc>
        <w:tcPr>
          <w:tcW w:w="3794" w:type="dxa"/>
          <w:shd w:val="clear" w:color="auto" w:fill="FFFFFF"/>
          <w:tcMar>
            <w:left w:w="108" w:type="dxa"/>
            <w:right w:w="108" w:type="dxa"/>
          </w:tcMar>
          <w:vAlign w:val="center"/>
        </w:tcPr>
        <w:p w14:paraId="1F34F0E8"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4D0AB731" w14:textId="77777777" w:rsidR="00ED54E0" w:rsidRPr="009239F7" w:rsidRDefault="00ED54E0" w:rsidP="00B801E9">
          <w:pPr>
            <w:jc w:val="right"/>
            <w:rPr>
              <w:b/>
              <w:color w:val="FF0000"/>
              <w:szCs w:val="16"/>
            </w:rPr>
          </w:pPr>
        </w:p>
      </w:tc>
    </w:tr>
    <w:bookmarkEnd w:id="43"/>
    <w:tr w:rsidR="00E31CC4" w14:paraId="2E33A018" w14:textId="77777777" w:rsidTr="008612A9">
      <w:trPr>
        <w:trHeight w:val="213"/>
        <w:jc w:val="center"/>
      </w:trPr>
      <w:tc>
        <w:tcPr>
          <w:tcW w:w="3794" w:type="dxa"/>
          <w:vMerge w:val="restart"/>
          <w:shd w:val="clear" w:color="auto" w:fill="FFFFFF"/>
          <w:tcMar>
            <w:left w:w="0" w:type="dxa"/>
            <w:right w:w="0" w:type="dxa"/>
          </w:tcMar>
        </w:tcPr>
        <w:p w14:paraId="6173B3AB" w14:textId="77777777" w:rsidR="00ED54E0" w:rsidRPr="009239F7" w:rsidRDefault="00444022" w:rsidP="00B801E9">
          <w:pPr>
            <w:jc w:val="left"/>
          </w:pPr>
          <w:r>
            <w:rPr>
              <w:lang w:eastAsia="en-GB"/>
            </w:rPr>
            <w:pict w14:anchorId="4F336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35pt;height:56.1pt;visibility:visible">
                <v:imagedata r:id="rId1" o:title=""/>
              </v:shape>
            </w:pict>
          </w:r>
        </w:p>
      </w:tc>
      <w:tc>
        <w:tcPr>
          <w:tcW w:w="5448" w:type="dxa"/>
          <w:gridSpan w:val="2"/>
          <w:shd w:val="clear" w:color="auto" w:fill="FFFFFF"/>
          <w:tcMar>
            <w:left w:w="108" w:type="dxa"/>
            <w:right w:w="108" w:type="dxa"/>
          </w:tcMar>
        </w:tcPr>
        <w:p w14:paraId="2EC09C29" w14:textId="77777777" w:rsidR="00ED54E0" w:rsidRPr="009239F7" w:rsidRDefault="00ED54E0" w:rsidP="00B801E9">
          <w:pPr>
            <w:jc w:val="right"/>
            <w:rPr>
              <w:b/>
              <w:szCs w:val="16"/>
            </w:rPr>
          </w:pPr>
        </w:p>
      </w:tc>
    </w:tr>
    <w:tr w:rsidR="00E31CC4" w14:paraId="4F31F47B" w14:textId="77777777" w:rsidTr="008612A9">
      <w:trPr>
        <w:trHeight w:val="868"/>
        <w:jc w:val="center"/>
      </w:trPr>
      <w:tc>
        <w:tcPr>
          <w:tcW w:w="3794" w:type="dxa"/>
          <w:vMerge/>
          <w:shd w:val="clear" w:color="auto" w:fill="FFFFFF"/>
          <w:tcMar>
            <w:left w:w="108" w:type="dxa"/>
            <w:right w:w="108" w:type="dxa"/>
          </w:tcMar>
        </w:tcPr>
        <w:p w14:paraId="0D919256"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4A7AA03" w14:textId="77777777" w:rsidR="009239F7" w:rsidRPr="002F6A28" w:rsidRDefault="00983BF3" w:rsidP="00B801E9">
          <w:pPr>
            <w:jc w:val="right"/>
            <w:rPr>
              <w:b/>
              <w:szCs w:val="16"/>
            </w:rPr>
          </w:pPr>
          <w:bookmarkStart w:id="44" w:name="bmkSymbols"/>
          <w:r w:rsidRPr="002F6A28">
            <w:rPr>
              <w:b/>
              <w:szCs w:val="16"/>
            </w:rPr>
            <w:t>G/TBT/N/EU/714</w:t>
          </w:r>
          <w:bookmarkEnd w:id="44"/>
        </w:p>
      </w:tc>
    </w:tr>
    <w:tr w:rsidR="00E31CC4" w14:paraId="67C0DEAC" w14:textId="77777777" w:rsidTr="008612A9">
      <w:trPr>
        <w:trHeight w:val="240"/>
        <w:jc w:val="center"/>
      </w:trPr>
      <w:tc>
        <w:tcPr>
          <w:tcW w:w="3794" w:type="dxa"/>
          <w:vMerge/>
          <w:shd w:val="clear" w:color="auto" w:fill="FFFFFF"/>
          <w:tcMar>
            <w:left w:w="108" w:type="dxa"/>
            <w:right w:w="108" w:type="dxa"/>
          </w:tcMar>
          <w:vAlign w:val="center"/>
        </w:tcPr>
        <w:p w14:paraId="4A7CDFC9" w14:textId="77777777" w:rsidR="00ED54E0" w:rsidRPr="009239F7" w:rsidRDefault="00ED54E0" w:rsidP="00B801E9"/>
      </w:tc>
      <w:tc>
        <w:tcPr>
          <w:tcW w:w="5448" w:type="dxa"/>
          <w:gridSpan w:val="2"/>
          <w:shd w:val="clear" w:color="auto" w:fill="FFFFFF"/>
          <w:tcMar>
            <w:left w:w="108" w:type="dxa"/>
            <w:right w:w="108" w:type="dxa"/>
          </w:tcMar>
          <w:vAlign w:val="center"/>
        </w:tcPr>
        <w:p w14:paraId="33A1F857" w14:textId="5E1C8C30" w:rsidR="00ED54E0" w:rsidRPr="009239F7" w:rsidRDefault="00983BF3" w:rsidP="00B801E9">
          <w:pPr>
            <w:jc w:val="right"/>
            <w:rPr>
              <w:szCs w:val="16"/>
            </w:rPr>
          </w:pPr>
          <w:bookmarkStart w:id="45" w:name="spsDateDistribution"/>
          <w:bookmarkStart w:id="46" w:name="bmkDate"/>
          <w:bookmarkEnd w:id="45"/>
          <w:bookmarkEnd w:id="46"/>
          <w:r>
            <w:rPr>
              <w:szCs w:val="16"/>
            </w:rPr>
            <w:t>23 April 2020</w:t>
          </w:r>
        </w:p>
      </w:tc>
    </w:tr>
    <w:tr w:rsidR="00E31CC4" w14:paraId="45E0E70A"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D2B47BF" w14:textId="764B26A9" w:rsidR="00ED54E0" w:rsidRPr="009239F7" w:rsidRDefault="00983BF3"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444022">
            <w:rPr>
              <w:color w:val="FF0000"/>
              <w:szCs w:val="16"/>
            </w:rPr>
            <w:t>3204</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306C4D5E" w14:textId="77777777" w:rsidR="00ED54E0" w:rsidRPr="009239F7" w:rsidRDefault="00983BF3"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E31CC4" w14:paraId="785E4B44"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00C46F1" w14:textId="77777777" w:rsidR="00ED54E0" w:rsidRPr="009239F7" w:rsidRDefault="00983BF3"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520A835C" w14:textId="77777777" w:rsidR="00ED54E0" w:rsidRPr="002F6A28" w:rsidRDefault="00983BF3"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547A70A7"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98AFEF2">
      <w:start w:val="1"/>
      <w:numFmt w:val="decimal"/>
      <w:pStyle w:val="SummaryText"/>
      <w:lvlText w:val="%1."/>
      <w:lvlJc w:val="left"/>
      <w:pPr>
        <w:ind w:left="360" w:hanging="360"/>
      </w:pPr>
    </w:lvl>
    <w:lvl w:ilvl="1" w:tplc="59267DE0" w:tentative="1">
      <w:start w:val="1"/>
      <w:numFmt w:val="lowerLetter"/>
      <w:lvlText w:val="%2."/>
      <w:lvlJc w:val="left"/>
      <w:pPr>
        <w:ind w:left="1080" w:hanging="360"/>
      </w:pPr>
    </w:lvl>
    <w:lvl w:ilvl="2" w:tplc="63AC59EE" w:tentative="1">
      <w:start w:val="1"/>
      <w:numFmt w:val="lowerRoman"/>
      <w:lvlText w:val="%3."/>
      <w:lvlJc w:val="right"/>
      <w:pPr>
        <w:ind w:left="1800" w:hanging="180"/>
      </w:pPr>
    </w:lvl>
    <w:lvl w:ilvl="3" w:tplc="6E32E7A6" w:tentative="1">
      <w:start w:val="1"/>
      <w:numFmt w:val="decimal"/>
      <w:lvlText w:val="%4."/>
      <w:lvlJc w:val="left"/>
      <w:pPr>
        <w:ind w:left="2520" w:hanging="360"/>
      </w:pPr>
    </w:lvl>
    <w:lvl w:ilvl="4" w:tplc="57168012" w:tentative="1">
      <w:start w:val="1"/>
      <w:numFmt w:val="lowerLetter"/>
      <w:lvlText w:val="%5."/>
      <w:lvlJc w:val="left"/>
      <w:pPr>
        <w:ind w:left="3240" w:hanging="360"/>
      </w:pPr>
    </w:lvl>
    <w:lvl w:ilvl="5" w:tplc="A3C2D7AA" w:tentative="1">
      <w:start w:val="1"/>
      <w:numFmt w:val="lowerRoman"/>
      <w:lvlText w:val="%6."/>
      <w:lvlJc w:val="right"/>
      <w:pPr>
        <w:ind w:left="3960" w:hanging="180"/>
      </w:pPr>
    </w:lvl>
    <w:lvl w:ilvl="6" w:tplc="23106882" w:tentative="1">
      <w:start w:val="1"/>
      <w:numFmt w:val="decimal"/>
      <w:lvlText w:val="%7."/>
      <w:lvlJc w:val="left"/>
      <w:pPr>
        <w:ind w:left="4680" w:hanging="360"/>
      </w:pPr>
    </w:lvl>
    <w:lvl w:ilvl="7" w:tplc="A0D46D72" w:tentative="1">
      <w:start w:val="1"/>
      <w:numFmt w:val="lowerLetter"/>
      <w:lvlText w:val="%8."/>
      <w:lvlJc w:val="left"/>
      <w:pPr>
        <w:ind w:left="5400" w:hanging="360"/>
      </w:pPr>
    </w:lvl>
    <w:lvl w:ilvl="8" w:tplc="1E528E1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479E0A4A">
      <w:start w:val="1"/>
      <w:numFmt w:val="bullet"/>
      <w:lvlText w:val=""/>
      <w:lvlJc w:val="left"/>
      <w:pPr>
        <w:ind w:left="720" w:hanging="360"/>
      </w:pPr>
      <w:rPr>
        <w:rFonts w:ascii="Symbol" w:hAnsi="Symbol"/>
      </w:rPr>
    </w:lvl>
    <w:lvl w:ilvl="1" w:tplc="0240C770">
      <w:start w:val="1"/>
      <w:numFmt w:val="bullet"/>
      <w:lvlText w:val="o"/>
      <w:lvlJc w:val="left"/>
      <w:pPr>
        <w:tabs>
          <w:tab w:val="num" w:pos="1440"/>
        </w:tabs>
        <w:ind w:left="1440" w:hanging="360"/>
      </w:pPr>
      <w:rPr>
        <w:rFonts w:ascii="Courier New" w:hAnsi="Courier New"/>
      </w:rPr>
    </w:lvl>
    <w:lvl w:ilvl="2" w:tplc="B2A276B6">
      <w:start w:val="1"/>
      <w:numFmt w:val="bullet"/>
      <w:lvlText w:val=""/>
      <w:lvlJc w:val="left"/>
      <w:pPr>
        <w:tabs>
          <w:tab w:val="num" w:pos="2160"/>
        </w:tabs>
        <w:ind w:left="2160" w:hanging="360"/>
      </w:pPr>
      <w:rPr>
        <w:rFonts w:ascii="Wingdings" w:hAnsi="Wingdings"/>
      </w:rPr>
    </w:lvl>
    <w:lvl w:ilvl="3" w:tplc="BA96B656">
      <w:start w:val="1"/>
      <w:numFmt w:val="bullet"/>
      <w:lvlText w:val=""/>
      <w:lvlJc w:val="left"/>
      <w:pPr>
        <w:tabs>
          <w:tab w:val="num" w:pos="2880"/>
        </w:tabs>
        <w:ind w:left="2880" w:hanging="360"/>
      </w:pPr>
      <w:rPr>
        <w:rFonts w:ascii="Symbol" w:hAnsi="Symbol"/>
      </w:rPr>
    </w:lvl>
    <w:lvl w:ilvl="4" w:tplc="95D81E64">
      <w:start w:val="1"/>
      <w:numFmt w:val="bullet"/>
      <w:lvlText w:val="o"/>
      <w:lvlJc w:val="left"/>
      <w:pPr>
        <w:tabs>
          <w:tab w:val="num" w:pos="3600"/>
        </w:tabs>
        <w:ind w:left="3600" w:hanging="360"/>
      </w:pPr>
      <w:rPr>
        <w:rFonts w:ascii="Courier New" w:hAnsi="Courier New"/>
      </w:rPr>
    </w:lvl>
    <w:lvl w:ilvl="5" w:tplc="513CE662">
      <w:start w:val="1"/>
      <w:numFmt w:val="bullet"/>
      <w:lvlText w:val=""/>
      <w:lvlJc w:val="left"/>
      <w:pPr>
        <w:tabs>
          <w:tab w:val="num" w:pos="4320"/>
        </w:tabs>
        <w:ind w:left="4320" w:hanging="360"/>
      </w:pPr>
      <w:rPr>
        <w:rFonts w:ascii="Wingdings" w:hAnsi="Wingdings"/>
      </w:rPr>
    </w:lvl>
    <w:lvl w:ilvl="6" w:tplc="D0BC66D4">
      <w:start w:val="1"/>
      <w:numFmt w:val="bullet"/>
      <w:lvlText w:val=""/>
      <w:lvlJc w:val="left"/>
      <w:pPr>
        <w:tabs>
          <w:tab w:val="num" w:pos="5040"/>
        </w:tabs>
        <w:ind w:left="5040" w:hanging="360"/>
      </w:pPr>
      <w:rPr>
        <w:rFonts w:ascii="Symbol" w:hAnsi="Symbol"/>
      </w:rPr>
    </w:lvl>
    <w:lvl w:ilvl="7" w:tplc="2CF2B348">
      <w:start w:val="1"/>
      <w:numFmt w:val="bullet"/>
      <w:lvlText w:val="o"/>
      <w:lvlJc w:val="left"/>
      <w:pPr>
        <w:tabs>
          <w:tab w:val="num" w:pos="5760"/>
        </w:tabs>
        <w:ind w:left="5760" w:hanging="360"/>
      </w:pPr>
      <w:rPr>
        <w:rFonts w:ascii="Courier New" w:hAnsi="Courier New"/>
      </w:rPr>
    </w:lvl>
    <w:lvl w:ilvl="8" w:tplc="4FC24680">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3F2852EE">
      <w:start w:val="1"/>
      <w:numFmt w:val="bullet"/>
      <w:lvlText w:val=""/>
      <w:lvlJc w:val="left"/>
      <w:pPr>
        <w:ind w:left="720" w:hanging="360"/>
      </w:pPr>
      <w:rPr>
        <w:rFonts w:ascii="Symbol" w:hAnsi="Symbol"/>
      </w:rPr>
    </w:lvl>
    <w:lvl w:ilvl="1" w:tplc="000E6326">
      <w:start w:val="1"/>
      <w:numFmt w:val="bullet"/>
      <w:lvlText w:val="o"/>
      <w:lvlJc w:val="left"/>
      <w:pPr>
        <w:tabs>
          <w:tab w:val="num" w:pos="1440"/>
        </w:tabs>
        <w:ind w:left="1440" w:hanging="360"/>
      </w:pPr>
      <w:rPr>
        <w:rFonts w:ascii="Courier New" w:hAnsi="Courier New"/>
      </w:rPr>
    </w:lvl>
    <w:lvl w:ilvl="2" w:tplc="0CB6EE6A">
      <w:start w:val="1"/>
      <w:numFmt w:val="bullet"/>
      <w:lvlText w:val=""/>
      <w:lvlJc w:val="left"/>
      <w:pPr>
        <w:tabs>
          <w:tab w:val="num" w:pos="2160"/>
        </w:tabs>
        <w:ind w:left="2160" w:hanging="360"/>
      </w:pPr>
      <w:rPr>
        <w:rFonts w:ascii="Wingdings" w:hAnsi="Wingdings"/>
      </w:rPr>
    </w:lvl>
    <w:lvl w:ilvl="3" w:tplc="FA7CFDAE">
      <w:start w:val="1"/>
      <w:numFmt w:val="bullet"/>
      <w:lvlText w:val=""/>
      <w:lvlJc w:val="left"/>
      <w:pPr>
        <w:tabs>
          <w:tab w:val="num" w:pos="2880"/>
        </w:tabs>
        <w:ind w:left="2880" w:hanging="360"/>
      </w:pPr>
      <w:rPr>
        <w:rFonts w:ascii="Symbol" w:hAnsi="Symbol"/>
      </w:rPr>
    </w:lvl>
    <w:lvl w:ilvl="4" w:tplc="B0C0682E">
      <w:start w:val="1"/>
      <w:numFmt w:val="bullet"/>
      <w:lvlText w:val="o"/>
      <w:lvlJc w:val="left"/>
      <w:pPr>
        <w:tabs>
          <w:tab w:val="num" w:pos="3600"/>
        </w:tabs>
        <w:ind w:left="3600" w:hanging="360"/>
      </w:pPr>
      <w:rPr>
        <w:rFonts w:ascii="Courier New" w:hAnsi="Courier New"/>
      </w:rPr>
    </w:lvl>
    <w:lvl w:ilvl="5" w:tplc="33FCAAA2">
      <w:start w:val="1"/>
      <w:numFmt w:val="bullet"/>
      <w:lvlText w:val=""/>
      <w:lvlJc w:val="left"/>
      <w:pPr>
        <w:tabs>
          <w:tab w:val="num" w:pos="4320"/>
        </w:tabs>
        <w:ind w:left="4320" w:hanging="360"/>
      </w:pPr>
      <w:rPr>
        <w:rFonts w:ascii="Wingdings" w:hAnsi="Wingdings"/>
      </w:rPr>
    </w:lvl>
    <w:lvl w:ilvl="6" w:tplc="AE56CABA">
      <w:start w:val="1"/>
      <w:numFmt w:val="bullet"/>
      <w:lvlText w:val=""/>
      <w:lvlJc w:val="left"/>
      <w:pPr>
        <w:tabs>
          <w:tab w:val="num" w:pos="5040"/>
        </w:tabs>
        <w:ind w:left="5040" w:hanging="360"/>
      </w:pPr>
      <w:rPr>
        <w:rFonts w:ascii="Symbol" w:hAnsi="Symbol"/>
      </w:rPr>
    </w:lvl>
    <w:lvl w:ilvl="7" w:tplc="C0529316">
      <w:start w:val="1"/>
      <w:numFmt w:val="bullet"/>
      <w:lvlText w:val="o"/>
      <w:lvlJc w:val="left"/>
      <w:pPr>
        <w:tabs>
          <w:tab w:val="num" w:pos="5760"/>
        </w:tabs>
        <w:ind w:left="5760" w:hanging="360"/>
      </w:pPr>
      <w:rPr>
        <w:rFonts w:ascii="Courier New" w:hAnsi="Courier New"/>
      </w:rPr>
    </w:lvl>
    <w:lvl w:ilvl="8" w:tplc="3C6453F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13714"/>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040FA"/>
    <w:rsid w:val="0011356B"/>
    <w:rsid w:val="001157E9"/>
    <w:rsid w:val="001206E6"/>
    <w:rsid w:val="00125032"/>
    <w:rsid w:val="0013337F"/>
    <w:rsid w:val="00155128"/>
    <w:rsid w:val="001621F4"/>
    <w:rsid w:val="00182B84"/>
    <w:rsid w:val="0018646B"/>
    <w:rsid w:val="00186B9C"/>
    <w:rsid w:val="001A464A"/>
    <w:rsid w:val="001E291F"/>
    <w:rsid w:val="00204CC3"/>
    <w:rsid w:val="0022436D"/>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44022"/>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19FA"/>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3BF3"/>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0F9B"/>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0FE6"/>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31CC4"/>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5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members.wto.org/crnattachments/2020/TBT/EEC/20_2866_01_e.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row-eu-tbt@ec.europa.eu" TargetMode="External"/><Relationship Id="rId12" Type="http://schemas.openxmlformats.org/officeDocument/2006/relationships/hyperlink" Target="https://members.wto.org/crnattachments/2020/TBT/EEC/20_2866_00_e.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growth/tools-databases/tbt/e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grow-eu-tbt@ec.europa.e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eur-lex.europa.eu/legal-content/EN/TXT/?qid=1423064258789&amp;uri=CELEX:32006R1907"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30963894.dotm</Template>
  <TotalTime>86</TotalTime>
  <Pages>2</Pages>
  <Words>822</Words>
  <Characters>5027</Characters>
  <Application>Microsoft Office Word</Application>
  <DocSecurity>0</DocSecurity>
  <Lines>104</Lines>
  <Paragraphs>50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66</cp:revision>
  <dcterms:created xsi:type="dcterms:W3CDTF">2017-07-03T10:42:00Z</dcterms:created>
  <dcterms:modified xsi:type="dcterms:W3CDTF">2020-04-23T08:18:00Z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d8224147-8882-4ef3-b87c-0efe7b70e28e</vt:lpwstr>
  </property>
  <property fmtid="{D5CDD505-2E9C-101B-9397-08002B2CF9AE}" pid="4" name="WTOCLASSIFICATION">
    <vt:lpwstr>WTO OFFICIAL</vt:lpwstr>
  </property>
</Properties>
</file>