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01AB4" w14:textId="77777777" w:rsidR="009239F7" w:rsidRPr="002F6A28" w:rsidRDefault="00F777BC" w:rsidP="002F6A28">
      <w:pPr>
        <w:pStyle w:val="Title"/>
        <w:rPr>
          <w:caps w:val="0"/>
          <w:kern w:val="0"/>
        </w:rPr>
      </w:pPr>
      <w:bookmarkStart w:id="0" w:name="_GoBack"/>
      <w:bookmarkEnd w:id="0"/>
      <w:r w:rsidRPr="002F6A28">
        <w:rPr>
          <w:caps w:val="0"/>
          <w:kern w:val="0"/>
        </w:rPr>
        <w:t>NOTIFICATION</w:t>
      </w:r>
    </w:p>
    <w:p w14:paraId="336D630D" w14:textId="77777777" w:rsidR="009239F7" w:rsidRPr="002F6A28" w:rsidRDefault="00F777BC" w:rsidP="002F6A28">
      <w:pPr>
        <w:jc w:val="center"/>
      </w:pPr>
      <w:r w:rsidRPr="002F6A28">
        <w:t>The following notification is being circulated in accordance with Article 10.6</w:t>
      </w:r>
    </w:p>
    <w:p w14:paraId="067DC6A3"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C5E3D" w14:paraId="50726563" w14:textId="77777777" w:rsidTr="0069259F">
        <w:tc>
          <w:tcPr>
            <w:tcW w:w="713" w:type="dxa"/>
            <w:tcBorders>
              <w:bottom w:val="single" w:sz="6" w:space="0" w:color="auto"/>
            </w:tcBorders>
            <w:shd w:val="clear" w:color="auto" w:fill="auto"/>
          </w:tcPr>
          <w:p w14:paraId="223A17AF" w14:textId="77777777" w:rsidR="00F85C99" w:rsidRPr="002F6A28" w:rsidRDefault="00F777BC" w:rsidP="002F6A28">
            <w:pPr>
              <w:spacing w:before="120" w:after="120"/>
              <w:jc w:val="left"/>
            </w:pPr>
            <w:r w:rsidRPr="002F6A28">
              <w:rPr>
                <w:b/>
              </w:rPr>
              <w:t>1.</w:t>
            </w:r>
          </w:p>
        </w:tc>
        <w:tc>
          <w:tcPr>
            <w:tcW w:w="8546" w:type="dxa"/>
            <w:tcBorders>
              <w:bottom w:val="single" w:sz="6" w:space="0" w:color="auto"/>
            </w:tcBorders>
            <w:shd w:val="clear" w:color="auto" w:fill="auto"/>
          </w:tcPr>
          <w:p w14:paraId="29AB5E75" w14:textId="77777777" w:rsidR="00F85C99" w:rsidRPr="002F6A28" w:rsidRDefault="00F777BC"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European Union</w:t>
            </w:r>
            <w:bookmarkEnd w:id="2"/>
            <w:r w:rsidRPr="002F6A28">
              <w:t xml:space="preserve"> </w:t>
            </w:r>
          </w:p>
          <w:p w14:paraId="2E5365BA" w14:textId="77777777" w:rsidR="00F85C99" w:rsidRPr="002F6A28" w:rsidRDefault="00F777BC"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7C5E3D" w:rsidRPr="00474A22" w14:paraId="6708117A" w14:textId="77777777" w:rsidTr="0069259F">
        <w:tc>
          <w:tcPr>
            <w:tcW w:w="713" w:type="dxa"/>
            <w:tcBorders>
              <w:top w:val="single" w:sz="6" w:space="0" w:color="auto"/>
              <w:bottom w:val="single" w:sz="6" w:space="0" w:color="auto"/>
            </w:tcBorders>
            <w:shd w:val="clear" w:color="auto" w:fill="auto"/>
          </w:tcPr>
          <w:p w14:paraId="4FA8787B" w14:textId="77777777" w:rsidR="00F85C99" w:rsidRPr="002F6A28" w:rsidRDefault="00F777B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0D22E7A5" w14:textId="77777777" w:rsidR="00F85C99" w:rsidRPr="002F6A28" w:rsidRDefault="00F777BC"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European Commission</w:t>
            </w:r>
            <w:bookmarkEnd w:id="6"/>
          </w:p>
          <w:p w14:paraId="0F1D5A12" w14:textId="77777777" w:rsidR="00F85C99" w:rsidRPr="002F6A28" w:rsidRDefault="00F777BC"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14:paraId="74150FB2" w14:textId="77777777" w:rsidR="000106D8" w:rsidRPr="00734248" w:rsidRDefault="00F777BC" w:rsidP="00AA646C">
            <w:pPr>
              <w:spacing w:after="120"/>
              <w:jc w:val="left"/>
              <w:rPr>
                <w:lang w:val="fr-CH"/>
              </w:rPr>
            </w:pPr>
            <w:proofErr w:type="spellStart"/>
            <w:r w:rsidRPr="00734248">
              <w:rPr>
                <w:lang w:val="fr-CH"/>
              </w:rPr>
              <w:t>European</w:t>
            </w:r>
            <w:proofErr w:type="spellEnd"/>
            <w:r w:rsidRPr="00734248">
              <w:rPr>
                <w:lang w:val="fr-CH"/>
              </w:rPr>
              <w:t xml:space="preserve"> Commission</w:t>
            </w:r>
            <w:r w:rsidRPr="00734248">
              <w:rPr>
                <w:lang w:val="fr-CH"/>
              </w:rPr>
              <w:br/>
              <w:t>EU-</w:t>
            </w:r>
            <w:proofErr w:type="spellStart"/>
            <w:r w:rsidRPr="00734248">
              <w:rPr>
                <w:lang w:val="fr-CH"/>
              </w:rPr>
              <w:t>TBT</w:t>
            </w:r>
            <w:proofErr w:type="spellEnd"/>
            <w:r w:rsidRPr="00734248">
              <w:rPr>
                <w:lang w:val="fr-CH"/>
              </w:rPr>
              <w:t xml:space="preserve"> </w:t>
            </w:r>
            <w:proofErr w:type="spellStart"/>
            <w:r w:rsidRPr="00734248">
              <w:rPr>
                <w:lang w:val="fr-CH"/>
              </w:rPr>
              <w:t>Enquiry</w:t>
            </w:r>
            <w:proofErr w:type="spellEnd"/>
            <w:r w:rsidRPr="00734248">
              <w:rPr>
                <w:lang w:val="fr-CH"/>
              </w:rPr>
              <w:t xml:space="preserve"> Point</w:t>
            </w:r>
            <w:r w:rsidRPr="00734248">
              <w:rPr>
                <w:lang w:val="fr-CH"/>
              </w:rPr>
              <w:br/>
              <w:t>Fax: +(32) 2 299 80 43</w:t>
            </w:r>
            <w:r w:rsidRPr="00734248">
              <w:rPr>
                <w:lang w:val="fr-CH"/>
              </w:rPr>
              <w:br/>
              <w:t xml:space="preserve">E-mail: </w:t>
            </w:r>
            <w:hyperlink r:id="rId7" w:history="1">
              <w:r w:rsidRPr="00734248">
                <w:rPr>
                  <w:color w:val="0000FF"/>
                  <w:u w:val="single"/>
                  <w:lang w:val="fr-CH"/>
                </w:rPr>
                <w:t>grow-eu-tbt@ec.europa.eu</w:t>
              </w:r>
            </w:hyperlink>
            <w:r w:rsidRPr="00734248">
              <w:rPr>
                <w:lang w:val="fr-CH"/>
              </w:rPr>
              <w:br/>
            </w:r>
            <w:proofErr w:type="spellStart"/>
            <w:r w:rsidRPr="00734248">
              <w:rPr>
                <w:lang w:val="fr-CH"/>
              </w:rPr>
              <w:t>Website</w:t>
            </w:r>
            <w:proofErr w:type="spellEnd"/>
            <w:r w:rsidRPr="00734248">
              <w:rPr>
                <w:lang w:val="fr-CH"/>
              </w:rPr>
              <w:t xml:space="preserve">: </w:t>
            </w:r>
            <w:hyperlink r:id="rId8" w:history="1">
              <w:r w:rsidRPr="00734248">
                <w:rPr>
                  <w:color w:val="0000FF"/>
                  <w:u w:val="single"/>
                  <w:lang w:val="fr-CH"/>
                </w:rPr>
                <w:t>http://ec.europa.eu/growth/tools-databases/tbt/en/</w:t>
              </w:r>
            </w:hyperlink>
            <w:r w:rsidRPr="00734248">
              <w:rPr>
                <w:lang w:val="fr-CH"/>
              </w:rPr>
              <w:t xml:space="preserve"> </w:t>
            </w:r>
            <w:bookmarkEnd w:id="8"/>
          </w:p>
        </w:tc>
      </w:tr>
      <w:tr w:rsidR="007C5E3D" w14:paraId="533F8DE5" w14:textId="77777777" w:rsidTr="0069259F">
        <w:tc>
          <w:tcPr>
            <w:tcW w:w="713" w:type="dxa"/>
            <w:tcBorders>
              <w:top w:val="single" w:sz="6" w:space="0" w:color="auto"/>
              <w:bottom w:val="single" w:sz="6" w:space="0" w:color="auto"/>
            </w:tcBorders>
            <w:shd w:val="clear" w:color="auto" w:fill="auto"/>
          </w:tcPr>
          <w:p w14:paraId="3B93723A" w14:textId="77777777" w:rsidR="00F85C99" w:rsidRPr="002F6A28" w:rsidRDefault="00F777B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91ED0B" w14:textId="77777777" w:rsidR="00F85C99" w:rsidRPr="0058336F" w:rsidRDefault="00F777BC"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7C5E3D" w14:paraId="44AEAA2D" w14:textId="77777777" w:rsidTr="0069259F">
        <w:tc>
          <w:tcPr>
            <w:tcW w:w="713" w:type="dxa"/>
            <w:tcBorders>
              <w:top w:val="single" w:sz="6" w:space="0" w:color="auto"/>
              <w:bottom w:val="single" w:sz="6" w:space="0" w:color="auto"/>
            </w:tcBorders>
            <w:shd w:val="clear" w:color="auto" w:fill="auto"/>
          </w:tcPr>
          <w:p w14:paraId="48336E4C" w14:textId="77777777" w:rsidR="00F85C99" w:rsidRPr="002F6A28" w:rsidRDefault="00F777B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81B26DB" w14:textId="77777777" w:rsidR="00F85C99" w:rsidRPr="002F6A28" w:rsidRDefault="00F777BC"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Tattoo inks or permanent make-up</w:t>
            </w:r>
            <w:bookmarkStart w:id="21" w:name="sps3a"/>
            <w:bookmarkEnd w:id="21"/>
          </w:p>
        </w:tc>
      </w:tr>
      <w:tr w:rsidR="007C5E3D" w14:paraId="131C1287" w14:textId="77777777" w:rsidTr="0069259F">
        <w:tc>
          <w:tcPr>
            <w:tcW w:w="713" w:type="dxa"/>
            <w:tcBorders>
              <w:top w:val="single" w:sz="6" w:space="0" w:color="auto"/>
              <w:bottom w:val="single" w:sz="6" w:space="0" w:color="auto"/>
            </w:tcBorders>
            <w:shd w:val="clear" w:color="auto" w:fill="auto"/>
          </w:tcPr>
          <w:p w14:paraId="7BC35BAF" w14:textId="77777777" w:rsidR="00F85C99" w:rsidRPr="002F6A28" w:rsidRDefault="00F777B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10A13287" w14:textId="77777777" w:rsidR="00F85C99" w:rsidRPr="002F6A28" w:rsidRDefault="00F777BC"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Commission Regulation amending Annex XVII to Regulation (EC) No 1907/2006 of the European Parliament and of the Council concerning the Registration, Evaluation, Authorisation and Restriction of Chemicals (REACH) as regards substances in tattoo inks or permanent make-up (10 page(s), in English; 12 page(s), in English)</w:t>
            </w:r>
            <w:bookmarkStart w:id="23" w:name="sps5a"/>
            <w:bookmarkStart w:id="24" w:name="sps5c"/>
            <w:bookmarkStart w:id="25" w:name="sps5b"/>
            <w:bookmarkEnd w:id="23"/>
            <w:bookmarkEnd w:id="24"/>
            <w:bookmarkEnd w:id="25"/>
          </w:p>
        </w:tc>
      </w:tr>
      <w:tr w:rsidR="007C5E3D" w14:paraId="7E0EA603" w14:textId="77777777" w:rsidTr="0069259F">
        <w:tc>
          <w:tcPr>
            <w:tcW w:w="713" w:type="dxa"/>
            <w:tcBorders>
              <w:top w:val="single" w:sz="6" w:space="0" w:color="auto"/>
              <w:bottom w:val="single" w:sz="6" w:space="0" w:color="auto"/>
            </w:tcBorders>
            <w:shd w:val="clear" w:color="auto" w:fill="auto"/>
          </w:tcPr>
          <w:p w14:paraId="36FF8256" w14:textId="77777777" w:rsidR="00F85C99" w:rsidRPr="002F6A28" w:rsidRDefault="00F777B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337E70D" w14:textId="77777777" w:rsidR="00F85C99" w:rsidRPr="002F6A28" w:rsidRDefault="00F777BC"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This draft Regulation relates to a new entry of Annex XVII to Regulation (EC) No 1907/2006.</w:t>
            </w:r>
          </w:p>
          <w:p w14:paraId="12A78DFB" w14:textId="77777777" w:rsidR="00FE448B" w:rsidRPr="00C379C8" w:rsidRDefault="00F777BC" w:rsidP="002F6A28">
            <w:pPr>
              <w:spacing w:after="120"/>
            </w:pPr>
            <w:r w:rsidRPr="00C379C8">
              <w:t xml:space="preserve">It would restrict the placing on the market and the use of substances in mixtures for use for tattooing purposes. </w:t>
            </w:r>
          </w:p>
          <w:p w14:paraId="40FE88C3" w14:textId="77777777" w:rsidR="00FE448B" w:rsidRPr="00C379C8" w:rsidRDefault="00F777BC" w:rsidP="002F6A28">
            <w:pPr>
              <w:spacing w:after="120"/>
            </w:pPr>
            <w:r w:rsidRPr="00C379C8">
              <w:t xml:space="preserve">These substances are: </w:t>
            </w:r>
          </w:p>
          <w:p w14:paraId="7FD1829E" w14:textId="77777777" w:rsidR="00FE448B" w:rsidRPr="00C379C8" w:rsidRDefault="00F777BC" w:rsidP="00734248">
            <w:pPr>
              <w:numPr>
                <w:ilvl w:val="0"/>
                <w:numId w:val="17"/>
              </w:numPr>
              <w:spacing w:after="120"/>
            </w:pPr>
            <w:r w:rsidRPr="00C379C8">
              <w:t xml:space="preserve">substances with harmonised classification under Regulation (EC) No 1272/2008 (CLP) as carcinogenicity, mutagenicity or toxicity to reproduction, skin sensitisation, skin corrosion or irritation and serious eye damage or irritation; </w:t>
            </w:r>
          </w:p>
          <w:p w14:paraId="238CE92D" w14:textId="77777777" w:rsidR="00FE448B" w:rsidRPr="00C379C8" w:rsidRDefault="00F777BC" w:rsidP="00734248">
            <w:pPr>
              <w:numPr>
                <w:ilvl w:val="0"/>
                <w:numId w:val="17"/>
              </w:numPr>
              <w:spacing w:after="120"/>
            </w:pPr>
            <w:r w:rsidRPr="00C379C8">
              <w:t>substances prohibited by the Cosmetic Products Regulation, Regulation (EC) No</w:t>
            </w:r>
            <w:r w:rsidR="00734248">
              <w:t> </w:t>
            </w:r>
            <w:r w:rsidRPr="00C379C8">
              <w:t xml:space="preserve">1223/2009 Annex II and Annex IV under specific conditions as listed in its columns g, h and </w:t>
            </w:r>
            <w:proofErr w:type="spellStart"/>
            <w:r w:rsidRPr="00C379C8">
              <w:t>i</w:t>
            </w:r>
            <w:proofErr w:type="spellEnd"/>
            <w:r w:rsidRPr="00C379C8">
              <w:t xml:space="preserve"> and </w:t>
            </w:r>
          </w:p>
          <w:p w14:paraId="6FDA2DE6" w14:textId="77777777" w:rsidR="00FE448B" w:rsidRPr="00C379C8" w:rsidRDefault="00F777BC" w:rsidP="00734248">
            <w:pPr>
              <w:numPr>
                <w:ilvl w:val="0"/>
                <w:numId w:val="17"/>
              </w:numPr>
              <w:spacing w:after="120"/>
            </w:pPr>
            <w:r w:rsidRPr="00C379C8">
              <w:t>impurities exceeding the concentration limits as listed in the Appendix to the draft Commission Regulation.</w:t>
            </w:r>
          </w:p>
          <w:p w14:paraId="201FC67E" w14:textId="77777777" w:rsidR="00FE448B" w:rsidRPr="00C379C8" w:rsidRDefault="00F777BC" w:rsidP="002F6A28">
            <w:pPr>
              <w:spacing w:after="120"/>
            </w:pPr>
            <w:r w:rsidRPr="00C379C8">
              <w:t xml:space="preserve">Application of the restriction is deferred for 1 year to allow </w:t>
            </w:r>
            <w:proofErr w:type="gramStart"/>
            <w:r w:rsidRPr="00C379C8">
              <w:t>sufficient</w:t>
            </w:r>
            <w:proofErr w:type="gramEnd"/>
            <w:r w:rsidRPr="00C379C8">
              <w:t xml:space="preserve"> time to adapt and achieve compliance with the Regulation.</w:t>
            </w:r>
          </w:p>
        </w:tc>
      </w:tr>
      <w:tr w:rsidR="007C5E3D" w14:paraId="4B16E9AD" w14:textId="77777777" w:rsidTr="0069259F">
        <w:tc>
          <w:tcPr>
            <w:tcW w:w="713" w:type="dxa"/>
            <w:tcBorders>
              <w:top w:val="single" w:sz="6" w:space="0" w:color="auto"/>
              <w:bottom w:val="single" w:sz="6" w:space="0" w:color="auto"/>
            </w:tcBorders>
            <w:shd w:val="clear" w:color="auto" w:fill="auto"/>
          </w:tcPr>
          <w:p w14:paraId="1303C3EB" w14:textId="77777777" w:rsidR="00F85C99" w:rsidRPr="002F6A28" w:rsidRDefault="00F777B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127FC78B" w14:textId="77777777" w:rsidR="00F85C99" w:rsidRPr="002F6A28" w:rsidRDefault="00F777B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Tattoo and permanent make-up inks are mixtures administered by intentional injection into the dermis or inside the eyeball or in the mucous membranes. The insoluble pigments mostly remain in the skin, soluble constituents of the ink are distributed in the body being quickly systemically available. The aim of the restriction is to prevent the exposure of the skin and other organs over an extended </w:t>
            </w:r>
            <w:proofErr w:type="gramStart"/>
            <w:r w:rsidR="00EE3A11" w:rsidRPr="00C379C8">
              <w:t>period of time</w:t>
            </w:r>
            <w:proofErr w:type="gramEnd"/>
            <w:r w:rsidR="00EE3A11" w:rsidRPr="00C379C8">
              <w:t xml:space="preserve"> to the effects of substances which have hazardous properties leading to a risk to human health. The transitional period (12 months) before the application of the proposed restriction will allow stakeholders </w:t>
            </w:r>
            <w:proofErr w:type="gramStart"/>
            <w:r w:rsidR="00EE3A11" w:rsidRPr="00C379C8">
              <w:t>sufficient</w:t>
            </w:r>
            <w:proofErr w:type="gramEnd"/>
            <w:r w:rsidR="00EE3A11" w:rsidRPr="00C379C8">
              <w:t xml:space="preserve"> time to comply with the proposed restriction and to ensure adequate communication throughout the supply chain</w:t>
            </w:r>
            <w:bookmarkStart w:id="28" w:name="sps7f"/>
            <w:bookmarkEnd w:id="28"/>
            <w:r w:rsidR="00734248">
              <w:t>.</w:t>
            </w:r>
          </w:p>
        </w:tc>
      </w:tr>
      <w:tr w:rsidR="007C5E3D" w14:paraId="45903F01" w14:textId="77777777" w:rsidTr="0069259F">
        <w:tc>
          <w:tcPr>
            <w:tcW w:w="713" w:type="dxa"/>
            <w:tcBorders>
              <w:top w:val="single" w:sz="6" w:space="0" w:color="auto"/>
              <w:bottom w:val="single" w:sz="6" w:space="0" w:color="auto"/>
            </w:tcBorders>
            <w:shd w:val="clear" w:color="auto" w:fill="auto"/>
          </w:tcPr>
          <w:p w14:paraId="490F64F1" w14:textId="77777777" w:rsidR="00F85C99" w:rsidRPr="002F6A28" w:rsidRDefault="00F777B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EA05C3F" w14:textId="77777777" w:rsidR="00072B36" w:rsidRPr="002F6A28" w:rsidRDefault="00F777B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18FFCFE8" w14:textId="77777777" w:rsidR="00734248" w:rsidRDefault="00F777BC" w:rsidP="009E75ED">
            <w:pPr>
              <w:numPr>
                <w:ilvl w:val="0"/>
                <w:numId w:val="16"/>
              </w:numPr>
              <w:spacing w:before="120" w:after="120"/>
              <w:jc w:val="left"/>
              <w:rPr>
                <w:bCs/>
              </w:rPr>
            </w:pPr>
            <w:r w:rsidRPr="002F6A28">
              <w:rPr>
                <w:bCs/>
              </w:rPr>
              <w:t>Regulation (EC) No 1907/2006 of the European Parliament and of the Council on the Registration, Evaluation, Authorisation and Restriction of Chemicals (REACH Regulation):</w:t>
            </w:r>
          </w:p>
          <w:p w14:paraId="28D7A3DE" w14:textId="77777777" w:rsidR="000106D8" w:rsidRPr="002F6A28" w:rsidRDefault="00474A22" w:rsidP="00734248">
            <w:pPr>
              <w:spacing w:before="120" w:after="120"/>
              <w:ind w:left="720"/>
              <w:jc w:val="left"/>
              <w:rPr>
                <w:bCs/>
              </w:rPr>
            </w:pPr>
            <w:hyperlink r:id="rId9" w:history="1">
              <w:r w:rsidR="00F777BC" w:rsidRPr="002F6A28">
                <w:rPr>
                  <w:bCs/>
                  <w:color w:val="0000FF"/>
                  <w:u w:val="single"/>
                </w:rPr>
                <w:t>http://eur-lex.europa.eu/legal-content/EN/TXT/?qid=1423064258789&amp;uri=CELEX:32006R1907</w:t>
              </w:r>
            </w:hyperlink>
            <w:r w:rsidR="00F777BC" w:rsidRPr="002F6A28">
              <w:rPr>
                <w:bCs/>
              </w:rPr>
              <w:t> </w:t>
            </w:r>
          </w:p>
          <w:p w14:paraId="73B6320B" w14:textId="77777777" w:rsidR="00734685" w:rsidRDefault="00F777BC" w:rsidP="00734685">
            <w:pPr>
              <w:numPr>
                <w:ilvl w:val="0"/>
                <w:numId w:val="16"/>
              </w:numPr>
              <w:spacing w:before="120" w:after="120"/>
              <w:jc w:val="left"/>
              <w:rPr>
                <w:bCs/>
              </w:rPr>
            </w:pPr>
            <w:r w:rsidRPr="002F6A28">
              <w:rPr>
                <w:bCs/>
              </w:rPr>
              <w:t>The opinions of the Committees for Risk Assessment (RAC) and Socio-economic Analysis (SEAC):</w:t>
            </w:r>
          </w:p>
          <w:p w14:paraId="2FAACB41" w14:textId="77777777" w:rsidR="000106D8" w:rsidRPr="00734685" w:rsidRDefault="00474A22" w:rsidP="00734685">
            <w:pPr>
              <w:spacing w:before="120" w:after="120"/>
              <w:ind w:left="720"/>
              <w:jc w:val="left"/>
              <w:rPr>
                <w:bCs/>
              </w:rPr>
            </w:pPr>
            <w:hyperlink r:id="rId10" w:history="1">
              <w:r w:rsidR="00F777BC" w:rsidRPr="00734685">
                <w:rPr>
                  <w:rStyle w:val="Hyperlink"/>
                  <w:bCs/>
                </w:rPr>
                <w:t>https://echa.europa.eu/documents/10162/dc3d6ea4-df3f-f53d-eff0-540ff3a5b1a0</w:t>
              </w:r>
            </w:hyperlink>
          </w:p>
          <w:p w14:paraId="46444ECF" w14:textId="77777777" w:rsidR="000106D8" w:rsidRPr="002F6A28" w:rsidRDefault="00F777BC" w:rsidP="009E75ED">
            <w:pPr>
              <w:numPr>
                <w:ilvl w:val="0"/>
                <w:numId w:val="16"/>
              </w:numPr>
              <w:spacing w:before="120" w:after="120"/>
              <w:jc w:val="left"/>
              <w:rPr>
                <w:bCs/>
              </w:rPr>
            </w:pPr>
            <w:r w:rsidRPr="002F6A28">
              <w:rPr>
                <w:bCs/>
              </w:rPr>
              <w:t xml:space="preserve">Further background information is available at </w:t>
            </w:r>
            <w:hyperlink r:id="rId11" w:history="1">
              <w:hyperlink r:id="rId12" w:history="1">
                <w:r w:rsidRPr="002F6A28">
                  <w:rPr>
                    <w:bCs/>
                    <w:color w:val="0000FF"/>
                    <w:u w:val="single"/>
                  </w:rPr>
                  <w:t>https://echa.europa.eu/nl/registry-of-restriction-intentions/-/dislist/details/0b0236e180dff62a</w:t>
                </w:r>
              </w:hyperlink>
            </w:hyperlink>
          </w:p>
        </w:tc>
      </w:tr>
      <w:tr w:rsidR="007C5E3D" w14:paraId="78368603" w14:textId="77777777" w:rsidTr="00AE6CC8">
        <w:trPr>
          <w:cantSplit/>
        </w:trPr>
        <w:tc>
          <w:tcPr>
            <w:tcW w:w="713" w:type="dxa"/>
            <w:tcBorders>
              <w:top w:val="single" w:sz="6" w:space="0" w:color="auto"/>
              <w:bottom w:val="single" w:sz="6" w:space="0" w:color="auto"/>
            </w:tcBorders>
            <w:shd w:val="clear" w:color="auto" w:fill="auto"/>
          </w:tcPr>
          <w:p w14:paraId="49CDE11B" w14:textId="77777777" w:rsidR="00EE3A11" w:rsidRPr="002F6A28" w:rsidRDefault="00F777B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A41972E" w14:textId="77777777" w:rsidR="00EE3A11" w:rsidRPr="002F6A28" w:rsidRDefault="00F777BC"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Second half of 2020</w:t>
            </w:r>
            <w:bookmarkEnd w:id="32"/>
          </w:p>
          <w:p w14:paraId="4151BFC3" w14:textId="77777777" w:rsidR="00EE3A11" w:rsidRPr="002F6A28" w:rsidRDefault="00F777BC"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20 days from publication in the Official Journal of the</w:t>
            </w:r>
            <w:r>
              <w:t> </w:t>
            </w:r>
            <w:r w:rsidRPr="002F6A28">
              <w:t>EU (the restriction will begin to apply one year after the date of entry into force)</w:t>
            </w:r>
            <w:bookmarkEnd w:id="35"/>
          </w:p>
        </w:tc>
      </w:tr>
      <w:tr w:rsidR="007C5E3D" w14:paraId="3093C434" w14:textId="77777777" w:rsidTr="0069259F">
        <w:tc>
          <w:tcPr>
            <w:tcW w:w="713" w:type="dxa"/>
            <w:tcBorders>
              <w:top w:val="single" w:sz="6" w:space="0" w:color="auto"/>
              <w:bottom w:val="single" w:sz="6" w:space="0" w:color="auto"/>
            </w:tcBorders>
            <w:shd w:val="clear" w:color="auto" w:fill="auto"/>
          </w:tcPr>
          <w:p w14:paraId="5EC009B0" w14:textId="77777777" w:rsidR="00F85C99" w:rsidRPr="002F6A28" w:rsidRDefault="00F777B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84094A9" w14:textId="77777777" w:rsidR="00F85C99" w:rsidRPr="002F6A28" w:rsidRDefault="00F777BC"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7C5E3D" w14:paraId="3D01A42B" w14:textId="77777777" w:rsidTr="0069259F">
        <w:tc>
          <w:tcPr>
            <w:tcW w:w="713" w:type="dxa"/>
            <w:tcBorders>
              <w:top w:val="single" w:sz="6" w:space="0" w:color="auto"/>
            </w:tcBorders>
            <w:shd w:val="clear" w:color="auto" w:fill="auto"/>
          </w:tcPr>
          <w:p w14:paraId="2FDACA32" w14:textId="77777777" w:rsidR="00F85C99" w:rsidRPr="002F6A28" w:rsidRDefault="00F777B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78BA8B1" w14:textId="77777777" w:rsidR="00F85C99" w:rsidRPr="002F6A28" w:rsidRDefault="00F777BC"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proofErr w:type="gramStart"/>
            <w:r w:rsidR="00533DC1" w:rsidRPr="002F6A28">
              <w:rPr>
                <w:b/>
              </w:rPr>
              <w:t>[</w:t>
            </w:r>
            <w:bookmarkStart w:id="39" w:name="sps13b"/>
            <w:r w:rsidRPr="002F6A28">
              <w:rPr>
                <w:b/>
              </w:rPr>
              <w:t xml:space="preserve"> </w:t>
            </w:r>
            <w:bookmarkEnd w:id="39"/>
            <w:r w:rsidRPr="002F6A28">
              <w:rPr>
                <w:b/>
              </w:rPr>
              <w:t>]</w:t>
            </w:r>
            <w:proofErr w:type="gramEnd"/>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43D387E9" w14:textId="77777777" w:rsidR="00734685" w:rsidRDefault="00F777BC" w:rsidP="00B16145">
            <w:pPr>
              <w:keepNext/>
              <w:keepLines/>
              <w:spacing w:before="120" w:after="120"/>
              <w:jc w:val="left"/>
            </w:pPr>
            <w:r w:rsidRPr="002F6A28">
              <w:t>European Commission</w:t>
            </w:r>
            <w:r w:rsidRPr="002F6A28">
              <w:br/>
              <w:t>EU-TBT Enquiry Point</w:t>
            </w:r>
            <w:r w:rsidRPr="002F6A28">
              <w:br/>
              <w:t>Fax: + (32) 2 299 80 43</w:t>
            </w:r>
            <w:r w:rsidRPr="002F6A28">
              <w:br/>
              <w:t xml:space="preserve">E-mail: </w:t>
            </w:r>
            <w:hyperlink r:id="rId13" w:history="1">
              <w:r w:rsidRPr="002F6A28">
                <w:rPr>
                  <w:color w:val="0000FF"/>
                  <w:u w:val="single"/>
                </w:rPr>
                <w:t>grow-eu-tbt@ec.europa.eu</w:t>
              </w:r>
            </w:hyperlink>
            <w:r w:rsidRPr="002F6A28">
              <w:br/>
              <w:t xml:space="preserve">The text is available on the EU-TBT Website: </w:t>
            </w:r>
            <w:hyperlink r:id="rId14" w:history="1">
              <w:r w:rsidRPr="002F6A28">
                <w:rPr>
                  <w:color w:val="0000FF"/>
                  <w:u w:val="single"/>
                </w:rPr>
                <w:t>http://ec.europa.eu/growth/tools-databases/tbt/en/</w:t>
              </w:r>
            </w:hyperlink>
          </w:p>
          <w:p w14:paraId="2511C7FE" w14:textId="77777777" w:rsidR="00734685" w:rsidRDefault="00474A22" w:rsidP="00B16145">
            <w:pPr>
              <w:keepNext/>
              <w:keepLines/>
              <w:spacing w:before="120" w:after="120"/>
              <w:jc w:val="left"/>
            </w:pPr>
            <w:hyperlink r:id="rId15" w:history="1">
              <w:r w:rsidR="00F777BC" w:rsidRPr="002F6A28">
                <w:rPr>
                  <w:color w:val="0000FF"/>
                  <w:u w:val="single"/>
                </w:rPr>
                <w:t>https://members.wto.org/crnattachments/2020/TBT/EEC/20_2471_00_e.pdf</w:t>
              </w:r>
            </w:hyperlink>
          </w:p>
          <w:p w14:paraId="363226A7" w14:textId="77777777" w:rsidR="000106D8" w:rsidRPr="002F6A28" w:rsidRDefault="00474A22" w:rsidP="00B16145">
            <w:pPr>
              <w:keepNext/>
              <w:keepLines/>
              <w:spacing w:before="120" w:after="120"/>
              <w:jc w:val="left"/>
            </w:pPr>
            <w:hyperlink r:id="rId16" w:history="1">
              <w:r w:rsidR="00F777BC" w:rsidRPr="002F6A28">
                <w:rPr>
                  <w:color w:val="0000FF"/>
                  <w:u w:val="single"/>
                </w:rPr>
                <w:t>https://members.wto.org/crnattachments/2020/TBT/EEC/20_2471_01_e.pdf</w:t>
              </w:r>
            </w:hyperlink>
            <w:bookmarkEnd w:id="41"/>
          </w:p>
        </w:tc>
      </w:tr>
    </w:tbl>
    <w:p w14:paraId="0303D4C0" w14:textId="77777777" w:rsidR="00EE3A11" w:rsidRPr="002F6A28" w:rsidRDefault="00EE3A11" w:rsidP="002F6A28"/>
    <w:sectPr w:rsidR="00EE3A11" w:rsidRPr="002F6A28" w:rsidSect="00760DB3">
      <w:headerReference w:type="even" r:id="rId17"/>
      <w:headerReference w:type="default" r:id="rId18"/>
      <w:footerReference w:type="even" r:id="rId19"/>
      <w:footerReference w:type="default" r:id="rId20"/>
      <w:headerReference w:type="first" r:id="rId21"/>
      <w:footerReference w:type="first" r:id="rId2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21A10" w14:textId="77777777" w:rsidR="00A909AF" w:rsidRDefault="00F777BC">
      <w:r>
        <w:separator/>
      </w:r>
    </w:p>
  </w:endnote>
  <w:endnote w:type="continuationSeparator" w:id="0">
    <w:p w14:paraId="71579A5C" w14:textId="77777777" w:rsidR="00A909AF" w:rsidRDefault="00F77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F6F65" w14:textId="77777777" w:rsidR="009239F7" w:rsidRPr="002F6A28" w:rsidRDefault="00F777B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39F0" w14:textId="77777777" w:rsidR="009239F7" w:rsidRPr="002F6A28" w:rsidRDefault="00F777B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71EDE" w14:textId="77777777" w:rsidR="00EE3A11" w:rsidRPr="002F6A28" w:rsidRDefault="00F777B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57608" w14:textId="77777777" w:rsidR="00A909AF" w:rsidRDefault="00F777BC">
      <w:r>
        <w:separator/>
      </w:r>
    </w:p>
  </w:footnote>
  <w:footnote w:type="continuationSeparator" w:id="0">
    <w:p w14:paraId="4A7612E9" w14:textId="77777777" w:rsidR="00A909AF" w:rsidRDefault="00F77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B8CD" w14:textId="77777777" w:rsidR="009239F7" w:rsidRPr="002F6A28" w:rsidRDefault="00F777BC" w:rsidP="009239F7">
    <w:pPr>
      <w:pStyle w:val="Header"/>
      <w:pBdr>
        <w:bottom w:val="single" w:sz="4" w:space="1" w:color="auto"/>
      </w:pBdr>
      <w:tabs>
        <w:tab w:val="clear" w:pos="4513"/>
        <w:tab w:val="clear" w:pos="9027"/>
      </w:tabs>
      <w:jc w:val="center"/>
    </w:pPr>
    <w:proofErr w:type="spellStart"/>
    <w:r w:rsidRPr="002F6A28">
      <w:t>tbtSymbol</w:t>
    </w:r>
    <w:proofErr w:type="spellEnd"/>
  </w:p>
  <w:p w14:paraId="6C877B9E" w14:textId="77777777" w:rsidR="009239F7" w:rsidRPr="002F6A28" w:rsidRDefault="009239F7" w:rsidP="009239F7">
    <w:pPr>
      <w:pStyle w:val="Header"/>
      <w:pBdr>
        <w:bottom w:val="single" w:sz="4" w:space="1" w:color="auto"/>
      </w:pBdr>
      <w:tabs>
        <w:tab w:val="clear" w:pos="4513"/>
        <w:tab w:val="clear" w:pos="9027"/>
      </w:tabs>
      <w:jc w:val="center"/>
    </w:pPr>
  </w:p>
  <w:p w14:paraId="249E5303" w14:textId="77777777" w:rsidR="009239F7" w:rsidRPr="002F6A28" w:rsidRDefault="00F777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8E3623E"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AA8C" w14:textId="77777777" w:rsidR="009239F7" w:rsidRPr="002F6A28" w:rsidRDefault="00F777BC" w:rsidP="009239F7">
    <w:pPr>
      <w:pStyle w:val="Header"/>
      <w:pBdr>
        <w:bottom w:val="single" w:sz="4" w:space="1" w:color="auto"/>
      </w:pBdr>
      <w:tabs>
        <w:tab w:val="clear" w:pos="4513"/>
        <w:tab w:val="clear" w:pos="9027"/>
      </w:tabs>
      <w:jc w:val="center"/>
    </w:pPr>
    <w:bookmarkStart w:id="42" w:name="spsSymbolHeader"/>
    <w:r w:rsidRPr="002F6A28">
      <w:t>G/TBT/N/EU/709</w:t>
    </w:r>
    <w:bookmarkEnd w:id="42"/>
  </w:p>
  <w:p w14:paraId="40007F79" w14:textId="77777777" w:rsidR="009239F7" w:rsidRPr="002F6A28" w:rsidRDefault="009239F7" w:rsidP="009239F7">
    <w:pPr>
      <w:pStyle w:val="Header"/>
      <w:pBdr>
        <w:bottom w:val="single" w:sz="4" w:space="1" w:color="auto"/>
      </w:pBdr>
      <w:tabs>
        <w:tab w:val="clear" w:pos="4513"/>
        <w:tab w:val="clear" w:pos="9027"/>
      </w:tabs>
      <w:jc w:val="center"/>
    </w:pPr>
  </w:p>
  <w:p w14:paraId="6E270ACA" w14:textId="77777777" w:rsidR="009239F7" w:rsidRPr="002F6A28" w:rsidRDefault="00F777B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AD5CC4F"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C5E3D" w14:paraId="692E884C" w14:textId="77777777" w:rsidTr="008612A9">
      <w:trPr>
        <w:trHeight w:val="240"/>
        <w:jc w:val="center"/>
      </w:trPr>
      <w:tc>
        <w:tcPr>
          <w:tcW w:w="3794" w:type="dxa"/>
          <w:shd w:val="clear" w:color="auto" w:fill="FFFFFF"/>
          <w:tcMar>
            <w:left w:w="108" w:type="dxa"/>
            <w:right w:w="108" w:type="dxa"/>
          </w:tcMar>
          <w:vAlign w:val="center"/>
        </w:tcPr>
        <w:p w14:paraId="0D5467F3"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7A2499D5" w14:textId="77777777" w:rsidR="00ED54E0" w:rsidRPr="009239F7" w:rsidRDefault="00ED54E0" w:rsidP="00B801E9">
          <w:pPr>
            <w:jc w:val="right"/>
            <w:rPr>
              <w:b/>
              <w:color w:val="FF0000"/>
              <w:szCs w:val="16"/>
            </w:rPr>
          </w:pPr>
        </w:p>
      </w:tc>
    </w:tr>
    <w:bookmarkEnd w:id="43"/>
    <w:tr w:rsidR="007C5E3D" w14:paraId="5F9A3F2D" w14:textId="77777777" w:rsidTr="008612A9">
      <w:trPr>
        <w:trHeight w:val="213"/>
        <w:jc w:val="center"/>
      </w:trPr>
      <w:tc>
        <w:tcPr>
          <w:tcW w:w="3794" w:type="dxa"/>
          <w:vMerge w:val="restart"/>
          <w:shd w:val="clear" w:color="auto" w:fill="FFFFFF"/>
          <w:tcMar>
            <w:left w:w="0" w:type="dxa"/>
            <w:right w:w="0" w:type="dxa"/>
          </w:tcMar>
        </w:tcPr>
        <w:p w14:paraId="392FB8A1" w14:textId="77777777" w:rsidR="00ED54E0" w:rsidRPr="009239F7" w:rsidRDefault="00474A22" w:rsidP="00B801E9">
          <w:pPr>
            <w:jc w:val="left"/>
          </w:pPr>
          <w:r>
            <w:rPr>
              <w:lang w:eastAsia="en-GB"/>
            </w:rPr>
            <w:pict w14:anchorId="4A17C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8.25pt;height:56.25pt;visibility:visible">
                <v:imagedata r:id="rId1" o:title=""/>
              </v:shape>
            </w:pict>
          </w:r>
        </w:p>
      </w:tc>
      <w:tc>
        <w:tcPr>
          <w:tcW w:w="5448" w:type="dxa"/>
          <w:gridSpan w:val="2"/>
          <w:shd w:val="clear" w:color="auto" w:fill="FFFFFF"/>
          <w:tcMar>
            <w:left w:w="108" w:type="dxa"/>
            <w:right w:w="108" w:type="dxa"/>
          </w:tcMar>
        </w:tcPr>
        <w:p w14:paraId="76CADD57" w14:textId="77777777" w:rsidR="00ED54E0" w:rsidRPr="009239F7" w:rsidRDefault="00ED54E0" w:rsidP="00B801E9">
          <w:pPr>
            <w:jc w:val="right"/>
            <w:rPr>
              <w:b/>
              <w:szCs w:val="16"/>
            </w:rPr>
          </w:pPr>
        </w:p>
      </w:tc>
    </w:tr>
    <w:tr w:rsidR="007C5E3D" w14:paraId="47ABE669" w14:textId="77777777" w:rsidTr="008612A9">
      <w:trPr>
        <w:trHeight w:val="868"/>
        <w:jc w:val="center"/>
      </w:trPr>
      <w:tc>
        <w:tcPr>
          <w:tcW w:w="3794" w:type="dxa"/>
          <w:vMerge/>
          <w:shd w:val="clear" w:color="auto" w:fill="FFFFFF"/>
          <w:tcMar>
            <w:left w:w="108" w:type="dxa"/>
            <w:right w:w="108" w:type="dxa"/>
          </w:tcMar>
        </w:tcPr>
        <w:p w14:paraId="3B7682D4"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4C85E4EB" w14:textId="77777777" w:rsidR="009239F7" w:rsidRPr="002F6A28" w:rsidRDefault="00F777BC" w:rsidP="00B801E9">
          <w:pPr>
            <w:jc w:val="right"/>
            <w:rPr>
              <w:b/>
              <w:szCs w:val="16"/>
            </w:rPr>
          </w:pPr>
          <w:bookmarkStart w:id="44" w:name="bmkSymbols"/>
          <w:r w:rsidRPr="002F6A28">
            <w:rPr>
              <w:b/>
              <w:szCs w:val="16"/>
            </w:rPr>
            <w:t>G/TBT/N/EU/709</w:t>
          </w:r>
          <w:bookmarkEnd w:id="44"/>
        </w:p>
      </w:tc>
    </w:tr>
    <w:tr w:rsidR="007C5E3D" w14:paraId="2FE1E8E7" w14:textId="77777777" w:rsidTr="008612A9">
      <w:trPr>
        <w:trHeight w:val="240"/>
        <w:jc w:val="center"/>
      </w:trPr>
      <w:tc>
        <w:tcPr>
          <w:tcW w:w="3794" w:type="dxa"/>
          <w:vMerge/>
          <w:shd w:val="clear" w:color="auto" w:fill="FFFFFF"/>
          <w:tcMar>
            <w:left w:w="108" w:type="dxa"/>
            <w:right w:w="108" w:type="dxa"/>
          </w:tcMar>
          <w:vAlign w:val="center"/>
        </w:tcPr>
        <w:p w14:paraId="28B31839" w14:textId="77777777" w:rsidR="00ED54E0" w:rsidRPr="009239F7" w:rsidRDefault="00ED54E0" w:rsidP="00B801E9"/>
      </w:tc>
      <w:tc>
        <w:tcPr>
          <w:tcW w:w="5448" w:type="dxa"/>
          <w:gridSpan w:val="2"/>
          <w:shd w:val="clear" w:color="auto" w:fill="FFFFFF"/>
          <w:tcMar>
            <w:left w:w="108" w:type="dxa"/>
            <w:right w:w="108" w:type="dxa"/>
          </w:tcMar>
          <w:vAlign w:val="center"/>
        </w:tcPr>
        <w:p w14:paraId="79B50085" w14:textId="3A07B76E" w:rsidR="00ED54E0" w:rsidRPr="009239F7" w:rsidRDefault="00F777BC" w:rsidP="00B801E9">
          <w:pPr>
            <w:jc w:val="right"/>
            <w:rPr>
              <w:szCs w:val="16"/>
            </w:rPr>
          </w:pPr>
          <w:bookmarkStart w:id="45" w:name="spsDateDistribution"/>
          <w:bookmarkStart w:id="46" w:name="bmkDate"/>
          <w:bookmarkEnd w:id="45"/>
          <w:bookmarkEnd w:id="46"/>
          <w:r>
            <w:rPr>
              <w:szCs w:val="16"/>
            </w:rPr>
            <w:t>7 April 2020</w:t>
          </w:r>
        </w:p>
      </w:tc>
    </w:tr>
    <w:tr w:rsidR="007C5E3D" w14:paraId="24324CFE"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8B09FB1" w14:textId="75CB31C6" w:rsidR="00ED54E0" w:rsidRPr="009239F7" w:rsidRDefault="00F777BC"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474A22">
            <w:rPr>
              <w:color w:val="FF0000"/>
              <w:szCs w:val="16"/>
            </w:rPr>
            <w:t>2756</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AEAFE7F" w14:textId="77777777" w:rsidR="00ED54E0" w:rsidRPr="009239F7" w:rsidRDefault="00F777BC"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C5E3D" w14:paraId="30FA818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8C073AE" w14:textId="77777777" w:rsidR="00ED54E0" w:rsidRPr="009239F7" w:rsidRDefault="00F777BC"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A22B805" w14:textId="77777777" w:rsidR="00ED54E0" w:rsidRPr="002F6A28" w:rsidRDefault="00F777BC"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1548704A"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E4631"/>
    <w:multiLevelType w:val="hybridMultilevel"/>
    <w:tmpl w:val="3F1217AE"/>
    <w:lvl w:ilvl="0" w:tplc="9E0E2274">
      <w:start w:val="1"/>
      <w:numFmt w:val="lowerRoman"/>
      <w:lvlText w:val="(%1)"/>
      <w:lvlJc w:val="left"/>
      <w:pPr>
        <w:ind w:left="1080" w:hanging="720"/>
      </w:pPr>
      <w:rPr>
        <w:rFonts w:hint="default"/>
      </w:rPr>
    </w:lvl>
    <w:lvl w:ilvl="1" w:tplc="31307202" w:tentative="1">
      <w:start w:val="1"/>
      <w:numFmt w:val="lowerLetter"/>
      <w:lvlText w:val="%2."/>
      <w:lvlJc w:val="left"/>
      <w:pPr>
        <w:ind w:left="1440" w:hanging="360"/>
      </w:pPr>
    </w:lvl>
    <w:lvl w:ilvl="2" w:tplc="572246AE" w:tentative="1">
      <w:start w:val="1"/>
      <w:numFmt w:val="lowerRoman"/>
      <w:lvlText w:val="%3."/>
      <w:lvlJc w:val="right"/>
      <w:pPr>
        <w:ind w:left="2160" w:hanging="180"/>
      </w:pPr>
    </w:lvl>
    <w:lvl w:ilvl="3" w:tplc="0F569C1C" w:tentative="1">
      <w:start w:val="1"/>
      <w:numFmt w:val="decimal"/>
      <w:lvlText w:val="%4."/>
      <w:lvlJc w:val="left"/>
      <w:pPr>
        <w:ind w:left="2880" w:hanging="360"/>
      </w:pPr>
    </w:lvl>
    <w:lvl w:ilvl="4" w:tplc="84F638E6" w:tentative="1">
      <w:start w:val="1"/>
      <w:numFmt w:val="lowerLetter"/>
      <w:lvlText w:val="%5."/>
      <w:lvlJc w:val="left"/>
      <w:pPr>
        <w:ind w:left="3600" w:hanging="360"/>
      </w:pPr>
    </w:lvl>
    <w:lvl w:ilvl="5" w:tplc="2B968A10" w:tentative="1">
      <w:start w:val="1"/>
      <w:numFmt w:val="lowerRoman"/>
      <w:lvlText w:val="%6."/>
      <w:lvlJc w:val="right"/>
      <w:pPr>
        <w:ind w:left="4320" w:hanging="180"/>
      </w:pPr>
    </w:lvl>
    <w:lvl w:ilvl="6" w:tplc="118ED19A" w:tentative="1">
      <w:start w:val="1"/>
      <w:numFmt w:val="decimal"/>
      <w:lvlText w:val="%7."/>
      <w:lvlJc w:val="left"/>
      <w:pPr>
        <w:ind w:left="5040" w:hanging="360"/>
      </w:pPr>
    </w:lvl>
    <w:lvl w:ilvl="7" w:tplc="A8B470E8" w:tentative="1">
      <w:start w:val="1"/>
      <w:numFmt w:val="lowerLetter"/>
      <w:lvlText w:val="%8."/>
      <w:lvlJc w:val="left"/>
      <w:pPr>
        <w:ind w:left="5760" w:hanging="360"/>
      </w:pPr>
    </w:lvl>
    <w:lvl w:ilvl="8" w:tplc="D3EA3810" w:tentative="1">
      <w:start w:val="1"/>
      <w:numFmt w:val="lowerRoman"/>
      <w:lvlText w:val="%9."/>
      <w:lvlJc w:val="right"/>
      <w:pPr>
        <w:ind w:left="6480" w:hanging="180"/>
      </w:pPr>
    </w:lvl>
  </w:abstractNum>
  <w:abstractNum w:abstractNumId="11"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3D1675"/>
    <w:multiLevelType w:val="hybridMultilevel"/>
    <w:tmpl w:val="601C699E"/>
    <w:lvl w:ilvl="0" w:tplc="780E4214">
      <w:start w:val="1"/>
      <w:numFmt w:val="lowerRoman"/>
      <w:lvlText w:val="%1."/>
      <w:lvlJc w:val="right"/>
      <w:pPr>
        <w:ind w:left="720" w:hanging="360"/>
      </w:pPr>
    </w:lvl>
    <w:lvl w:ilvl="1" w:tplc="7396DF0E" w:tentative="1">
      <w:start w:val="1"/>
      <w:numFmt w:val="lowerLetter"/>
      <w:lvlText w:val="%2."/>
      <w:lvlJc w:val="left"/>
      <w:pPr>
        <w:ind w:left="1440" w:hanging="360"/>
      </w:pPr>
    </w:lvl>
    <w:lvl w:ilvl="2" w:tplc="A0623F12" w:tentative="1">
      <w:start w:val="1"/>
      <w:numFmt w:val="lowerRoman"/>
      <w:lvlText w:val="%3."/>
      <w:lvlJc w:val="right"/>
      <w:pPr>
        <w:ind w:left="2160" w:hanging="180"/>
      </w:pPr>
    </w:lvl>
    <w:lvl w:ilvl="3" w:tplc="0220DAAE" w:tentative="1">
      <w:start w:val="1"/>
      <w:numFmt w:val="decimal"/>
      <w:lvlText w:val="%4."/>
      <w:lvlJc w:val="left"/>
      <w:pPr>
        <w:ind w:left="2880" w:hanging="360"/>
      </w:pPr>
    </w:lvl>
    <w:lvl w:ilvl="4" w:tplc="EA8EF038" w:tentative="1">
      <w:start w:val="1"/>
      <w:numFmt w:val="lowerLetter"/>
      <w:lvlText w:val="%5."/>
      <w:lvlJc w:val="left"/>
      <w:pPr>
        <w:ind w:left="3600" w:hanging="360"/>
      </w:pPr>
    </w:lvl>
    <w:lvl w:ilvl="5" w:tplc="1B50401A" w:tentative="1">
      <w:start w:val="1"/>
      <w:numFmt w:val="lowerRoman"/>
      <w:lvlText w:val="%6."/>
      <w:lvlJc w:val="right"/>
      <w:pPr>
        <w:ind w:left="4320" w:hanging="180"/>
      </w:pPr>
    </w:lvl>
    <w:lvl w:ilvl="6" w:tplc="B7025354" w:tentative="1">
      <w:start w:val="1"/>
      <w:numFmt w:val="decimal"/>
      <w:lvlText w:val="%7."/>
      <w:lvlJc w:val="left"/>
      <w:pPr>
        <w:ind w:left="5040" w:hanging="360"/>
      </w:pPr>
    </w:lvl>
    <w:lvl w:ilvl="7" w:tplc="0D7E097E" w:tentative="1">
      <w:start w:val="1"/>
      <w:numFmt w:val="lowerLetter"/>
      <w:lvlText w:val="%8."/>
      <w:lvlJc w:val="left"/>
      <w:pPr>
        <w:ind w:left="5760" w:hanging="360"/>
      </w:pPr>
    </w:lvl>
    <w:lvl w:ilvl="8" w:tplc="80C0DD1A" w:tentative="1">
      <w:start w:val="1"/>
      <w:numFmt w:val="lowerRoman"/>
      <w:lvlText w:val="%9."/>
      <w:lvlJc w:val="right"/>
      <w:pPr>
        <w:ind w:left="6480" w:hanging="180"/>
      </w:pPr>
    </w:lvl>
  </w:abstractNum>
  <w:abstractNum w:abstractNumId="13" w15:restartNumberingAfterBreak="0">
    <w:nsid w:val="57454AB1"/>
    <w:multiLevelType w:val="multilevel"/>
    <w:tmpl w:val="297E1EB4"/>
    <w:numStyleLink w:val="LegalHeadings"/>
  </w:abstractNum>
  <w:abstractNum w:abstractNumId="14"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54A844C6">
      <w:start w:val="1"/>
      <w:numFmt w:val="decimal"/>
      <w:pStyle w:val="SummaryText"/>
      <w:lvlText w:val="%1."/>
      <w:lvlJc w:val="left"/>
      <w:pPr>
        <w:ind w:left="360" w:hanging="360"/>
      </w:pPr>
    </w:lvl>
    <w:lvl w:ilvl="1" w:tplc="B170BC48" w:tentative="1">
      <w:start w:val="1"/>
      <w:numFmt w:val="lowerLetter"/>
      <w:lvlText w:val="%2."/>
      <w:lvlJc w:val="left"/>
      <w:pPr>
        <w:ind w:left="1080" w:hanging="360"/>
      </w:pPr>
    </w:lvl>
    <w:lvl w:ilvl="2" w:tplc="A5AE869E" w:tentative="1">
      <w:start w:val="1"/>
      <w:numFmt w:val="lowerRoman"/>
      <w:lvlText w:val="%3."/>
      <w:lvlJc w:val="right"/>
      <w:pPr>
        <w:ind w:left="1800" w:hanging="180"/>
      </w:pPr>
    </w:lvl>
    <w:lvl w:ilvl="3" w:tplc="CD40A420" w:tentative="1">
      <w:start w:val="1"/>
      <w:numFmt w:val="decimal"/>
      <w:lvlText w:val="%4."/>
      <w:lvlJc w:val="left"/>
      <w:pPr>
        <w:ind w:left="2520" w:hanging="360"/>
      </w:pPr>
    </w:lvl>
    <w:lvl w:ilvl="4" w:tplc="06345258" w:tentative="1">
      <w:start w:val="1"/>
      <w:numFmt w:val="lowerLetter"/>
      <w:lvlText w:val="%5."/>
      <w:lvlJc w:val="left"/>
      <w:pPr>
        <w:ind w:left="3240" w:hanging="360"/>
      </w:pPr>
    </w:lvl>
    <w:lvl w:ilvl="5" w:tplc="6C84A37A" w:tentative="1">
      <w:start w:val="1"/>
      <w:numFmt w:val="lowerRoman"/>
      <w:lvlText w:val="%6."/>
      <w:lvlJc w:val="right"/>
      <w:pPr>
        <w:ind w:left="3960" w:hanging="180"/>
      </w:pPr>
    </w:lvl>
    <w:lvl w:ilvl="6" w:tplc="0FFA4F7A" w:tentative="1">
      <w:start w:val="1"/>
      <w:numFmt w:val="decimal"/>
      <w:lvlText w:val="%7."/>
      <w:lvlJc w:val="left"/>
      <w:pPr>
        <w:ind w:left="4680" w:hanging="360"/>
      </w:pPr>
    </w:lvl>
    <w:lvl w:ilvl="7" w:tplc="93B86148" w:tentative="1">
      <w:start w:val="1"/>
      <w:numFmt w:val="lowerLetter"/>
      <w:lvlText w:val="%8."/>
      <w:lvlJc w:val="left"/>
      <w:pPr>
        <w:ind w:left="5400" w:hanging="360"/>
      </w:pPr>
    </w:lvl>
    <w:lvl w:ilvl="8" w:tplc="65E8049A" w:tentative="1">
      <w:start w:val="1"/>
      <w:numFmt w:val="lowerRoman"/>
      <w:lvlText w:val="%9."/>
      <w:lvlJc w:val="right"/>
      <w:pPr>
        <w:ind w:left="6120" w:hanging="180"/>
      </w:pPr>
    </w:lvl>
  </w:abstractNum>
  <w:abstractNum w:abstractNumId="16" w15:restartNumberingAfterBreak="0">
    <w:nsid w:val="63D526BB"/>
    <w:multiLevelType w:val="hybridMultilevel"/>
    <w:tmpl w:val="63D526BB"/>
    <w:lvl w:ilvl="0" w:tplc="478674D6">
      <w:start w:val="1"/>
      <w:numFmt w:val="bullet"/>
      <w:lvlText w:val=""/>
      <w:lvlJc w:val="left"/>
      <w:pPr>
        <w:ind w:left="720" w:hanging="360"/>
      </w:pPr>
      <w:rPr>
        <w:rFonts w:ascii="Symbol" w:hAnsi="Symbol"/>
      </w:rPr>
    </w:lvl>
    <w:lvl w:ilvl="1" w:tplc="A33E08AE">
      <w:start w:val="1"/>
      <w:numFmt w:val="bullet"/>
      <w:lvlText w:val="o"/>
      <w:lvlJc w:val="left"/>
      <w:pPr>
        <w:tabs>
          <w:tab w:val="num" w:pos="1440"/>
        </w:tabs>
        <w:ind w:left="1440" w:hanging="360"/>
      </w:pPr>
      <w:rPr>
        <w:rFonts w:ascii="Courier New" w:hAnsi="Courier New"/>
      </w:rPr>
    </w:lvl>
    <w:lvl w:ilvl="2" w:tplc="6B5C1692">
      <w:start w:val="1"/>
      <w:numFmt w:val="bullet"/>
      <w:lvlText w:val=""/>
      <w:lvlJc w:val="left"/>
      <w:pPr>
        <w:tabs>
          <w:tab w:val="num" w:pos="2160"/>
        </w:tabs>
        <w:ind w:left="2160" w:hanging="360"/>
      </w:pPr>
      <w:rPr>
        <w:rFonts w:ascii="Wingdings" w:hAnsi="Wingdings"/>
      </w:rPr>
    </w:lvl>
    <w:lvl w:ilvl="3" w:tplc="5E8A5A80">
      <w:start w:val="1"/>
      <w:numFmt w:val="bullet"/>
      <w:lvlText w:val=""/>
      <w:lvlJc w:val="left"/>
      <w:pPr>
        <w:tabs>
          <w:tab w:val="num" w:pos="2880"/>
        </w:tabs>
        <w:ind w:left="2880" w:hanging="360"/>
      </w:pPr>
      <w:rPr>
        <w:rFonts w:ascii="Symbol" w:hAnsi="Symbol"/>
      </w:rPr>
    </w:lvl>
    <w:lvl w:ilvl="4" w:tplc="43300070">
      <w:start w:val="1"/>
      <w:numFmt w:val="bullet"/>
      <w:lvlText w:val="o"/>
      <w:lvlJc w:val="left"/>
      <w:pPr>
        <w:tabs>
          <w:tab w:val="num" w:pos="3600"/>
        </w:tabs>
        <w:ind w:left="3600" w:hanging="360"/>
      </w:pPr>
      <w:rPr>
        <w:rFonts w:ascii="Courier New" w:hAnsi="Courier New"/>
      </w:rPr>
    </w:lvl>
    <w:lvl w:ilvl="5" w:tplc="086440E4">
      <w:start w:val="1"/>
      <w:numFmt w:val="bullet"/>
      <w:lvlText w:val=""/>
      <w:lvlJc w:val="left"/>
      <w:pPr>
        <w:tabs>
          <w:tab w:val="num" w:pos="4320"/>
        </w:tabs>
        <w:ind w:left="4320" w:hanging="360"/>
      </w:pPr>
      <w:rPr>
        <w:rFonts w:ascii="Wingdings" w:hAnsi="Wingdings"/>
      </w:rPr>
    </w:lvl>
    <w:lvl w:ilvl="6" w:tplc="C73CE706">
      <w:start w:val="1"/>
      <w:numFmt w:val="bullet"/>
      <w:lvlText w:val=""/>
      <w:lvlJc w:val="left"/>
      <w:pPr>
        <w:tabs>
          <w:tab w:val="num" w:pos="5040"/>
        </w:tabs>
        <w:ind w:left="5040" w:hanging="360"/>
      </w:pPr>
      <w:rPr>
        <w:rFonts w:ascii="Symbol" w:hAnsi="Symbol"/>
      </w:rPr>
    </w:lvl>
    <w:lvl w:ilvl="7" w:tplc="4E5809A8">
      <w:start w:val="1"/>
      <w:numFmt w:val="bullet"/>
      <w:lvlText w:val="o"/>
      <w:lvlJc w:val="left"/>
      <w:pPr>
        <w:tabs>
          <w:tab w:val="num" w:pos="5760"/>
        </w:tabs>
        <w:ind w:left="5760" w:hanging="360"/>
      </w:pPr>
      <w:rPr>
        <w:rFonts w:ascii="Courier New" w:hAnsi="Courier New"/>
      </w:rPr>
    </w:lvl>
    <w:lvl w:ilvl="8" w:tplc="AEF6C43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106D8"/>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74A22"/>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4248"/>
    <w:rsid w:val="00734685"/>
    <w:rsid w:val="00736D06"/>
    <w:rsid w:val="00745146"/>
    <w:rsid w:val="00756BA6"/>
    <w:rsid w:val="007577E3"/>
    <w:rsid w:val="00760DB3"/>
    <w:rsid w:val="007624E8"/>
    <w:rsid w:val="007B4DE8"/>
    <w:rsid w:val="007C5E3D"/>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09A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777BC"/>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B2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7346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tools-databases/tbt/en/" TargetMode="External"/><Relationship Id="rId13" Type="http://schemas.openxmlformats.org/officeDocument/2006/relationships/hyperlink" Target="mailto:grow-eu-tbt@ec.europa.e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grow-eu-tbt@ec.europa.eu" TargetMode="External"/><Relationship Id="rId12" Type="http://schemas.openxmlformats.org/officeDocument/2006/relationships/hyperlink" Target="https://echa.europa.eu/nl/registry-of-restriction-intentions/-/dislist/details/0b0236e180dff62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members.wto.org/crnattachments/2020/TBT/EEC/20_2471_01_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ha.europa.eu/nl/registry-of-restriction-intentions/-/dislist/details/0b0236e180dff62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embers.wto.org/crnattachments/2020/TBT/EEC/20_2471_00_e.pdf" TargetMode="External"/><Relationship Id="rId23" Type="http://schemas.openxmlformats.org/officeDocument/2006/relationships/fontTable" Target="fontTable.xml"/><Relationship Id="rId10" Type="http://schemas.openxmlformats.org/officeDocument/2006/relationships/hyperlink" Target="https://echa.europa.eu/documents/10162/dc3d6ea4-df3f-f53d-eff0-540ff3a5b1a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legal-content/EN/TXT/?qid=1423064258789&amp;uri=CELEX:32006R1907" TargetMode="External"/><Relationship Id="rId14" Type="http://schemas.openxmlformats.org/officeDocument/2006/relationships/hyperlink" Target="http://ec.europa.eu/growth/tools-databases/tbt/en/"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706</Words>
  <Characters>4500</Characters>
  <Application>Microsoft Office Word</Application>
  <DocSecurity>0</DocSecurity>
  <Lines>100</Lines>
  <Paragraphs>57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66</cp:revision>
  <dcterms:created xsi:type="dcterms:W3CDTF">2017-07-03T10:42:00Z</dcterms:created>
  <dcterms:modified xsi:type="dcterms:W3CDTF">2020-04-07T10:32:00Z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57aa7fb2-5a39-4169-8049-990a75816c5a</vt:lpwstr>
  </property>
  <property fmtid="{D5CDD505-2E9C-101B-9397-08002B2CF9AE}" pid="4" name="WTOCLASSIFICATION">
    <vt:lpwstr>WTO OFFICIAL</vt:lpwstr>
  </property>
</Properties>
</file>