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856E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856E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4278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8856E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4278A" w:rsidRPr="006B13E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8856E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80397" w:rsidRPr="00F40643" w:rsidRDefault="008856E7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F40643">
              <w:rPr>
                <w:lang w:val="fr-CH"/>
              </w:rPr>
              <w:t>European</w:t>
            </w:r>
            <w:proofErr w:type="spellEnd"/>
            <w:r w:rsidRPr="00F40643">
              <w:rPr>
                <w:lang w:val="fr-CH"/>
              </w:rPr>
              <w:t xml:space="preserve"> Commission</w:t>
            </w:r>
            <w:r w:rsidRPr="00F40643">
              <w:rPr>
                <w:lang w:val="fr-CH"/>
              </w:rPr>
              <w:br/>
              <w:t>EU-</w:t>
            </w:r>
            <w:proofErr w:type="spellStart"/>
            <w:r w:rsidRPr="00F40643">
              <w:rPr>
                <w:lang w:val="fr-CH"/>
              </w:rPr>
              <w:t>TBT</w:t>
            </w:r>
            <w:proofErr w:type="spellEnd"/>
            <w:r w:rsidRPr="00F40643">
              <w:rPr>
                <w:lang w:val="fr-CH"/>
              </w:rPr>
              <w:t xml:space="preserve"> </w:t>
            </w:r>
            <w:proofErr w:type="spellStart"/>
            <w:r w:rsidRPr="00F40643">
              <w:rPr>
                <w:lang w:val="fr-CH"/>
              </w:rPr>
              <w:t>Enquiry</w:t>
            </w:r>
            <w:proofErr w:type="spellEnd"/>
            <w:r w:rsidRPr="00F40643">
              <w:rPr>
                <w:lang w:val="fr-CH"/>
              </w:rPr>
              <w:t xml:space="preserve"> Point</w:t>
            </w:r>
            <w:r w:rsidRPr="00F40643">
              <w:rPr>
                <w:lang w:val="fr-CH"/>
              </w:rPr>
              <w:br/>
              <w:t>Fax: +(32) 2 299 80 43</w:t>
            </w:r>
            <w:r w:rsidRPr="00F40643">
              <w:rPr>
                <w:lang w:val="fr-CH"/>
              </w:rPr>
              <w:br/>
              <w:t xml:space="preserve">E-mail: </w:t>
            </w:r>
            <w:r w:rsidR="006B13E9">
              <w:fldChar w:fldCharType="begin"/>
            </w:r>
            <w:r w:rsidR="006B13E9" w:rsidRPr="006B13E9">
              <w:rPr>
                <w:lang w:val="fr-FR"/>
              </w:rPr>
              <w:instrText xml:space="preserve"> HYPERLINK "m</w:instrText>
            </w:r>
            <w:r w:rsidR="006B13E9" w:rsidRPr="006B13E9">
              <w:rPr>
                <w:lang w:val="fr-FR"/>
              </w:rPr>
              <w:instrText xml:space="preserve">ailto:grow-eu-tbt@ec.europa.eu" </w:instrText>
            </w:r>
            <w:r w:rsidR="006B13E9">
              <w:fldChar w:fldCharType="separate"/>
            </w:r>
            <w:r w:rsidRPr="00F40643">
              <w:rPr>
                <w:color w:val="0000FF"/>
                <w:u w:val="single"/>
                <w:lang w:val="fr-CH"/>
              </w:rPr>
              <w:t>grow-eu-tbt@ec.europa.eu</w:t>
            </w:r>
            <w:r w:rsidR="006B13E9">
              <w:rPr>
                <w:color w:val="0000FF"/>
                <w:u w:val="single"/>
                <w:lang w:val="fr-CH"/>
              </w:rPr>
              <w:fldChar w:fldCharType="end"/>
            </w:r>
            <w:r w:rsidRPr="00F40643">
              <w:rPr>
                <w:lang w:val="fr-CH"/>
              </w:rPr>
              <w:br/>
            </w:r>
            <w:proofErr w:type="spellStart"/>
            <w:r w:rsidRPr="00F40643">
              <w:rPr>
                <w:lang w:val="fr-CH"/>
              </w:rPr>
              <w:t>Website</w:t>
            </w:r>
            <w:proofErr w:type="spellEnd"/>
            <w:r w:rsidRPr="00F40643">
              <w:rPr>
                <w:lang w:val="fr-CH"/>
              </w:rPr>
              <w:t xml:space="preserve">: </w:t>
            </w:r>
            <w:r w:rsidR="006B13E9">
              <w:fldChar w:fldCharType="begin"/>
            </w:r>
            <w:r w:rsidR="006B13E9" w:rsidRPr="006B13E9">
              <w:rPr>
                <w:lang w:val="fr-FR"/>
              </w:rPr>
              <w:instrText xml:space="preserve"> HYPERLINK "http://ec.europa.eu/growth/tools-databases/tbt/en/" </w:instrText>
            </w:r>
            <w:r w:rsidR="006B13E9">
              <w:fldChar w:fldCharType="separate"/>
            </w:r>
            <w:r w:rsidRPr="00F40643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6B13E9">
              <w:rPr>
                <w:color w:val="0000FF"/>
                <w:u w:val="single"/>
                <w:lang w:val="fr-CH"/>
              </w:rPr>
              <w:fldChar w:fldCharType="end"/>
            </w:r>
            <w:bookmarkEnd w:id="7"/>
          </w:p>
        </w:tc>
      </w:tr>
      <w:tr w:rsidR="00A427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856E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427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Diisocyanates</w:t>
            </w:r>
            <w:bookmarkStart w:id="20" w:name="sps3a"/>
            <w:bookmarkEnd w:id="20"/>
          </w:p>
        </w:tc>
      </w:tr>
      <w:tr w:rsidR="00A427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Annex XVII to Regulation (EC) No 1907/2006 of the European Parliament and of the Council concerning the Registration, Evaluation, Authorisation and Restriction of Chemicals (REACH) as regards diisocyanates (4 pages + Annex 6 pages,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427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Regulation relates to a new entry of Annex XVII to Regulation (EC) No 1907/2006.</w:t>
            </w:r>
          </w:p>
          <w:p w:rsidR="00FE448B" w:rsidRPr="00C379C8" w:rsidRDefault="008856E7" w:rsidP="002F6A28">
            <w:pPr>
              <w:spacing w:after="120"/>
            </w:pPr>
            <w:r w:rsidRPr="00C379C8">
              <w:t xml:space="preserve">It would restrict the use of diisocyanates as substances on their own, as a constituent in other substances or in mixtures for industrial and professional use(s), individually or in any combination of these di-isocyanates, in a concentration above 0.1% by weight. A derogation is provided for the placing on the market and use of these substances and mixtures if the employer or self-employed worker ensures that adequate training is successfully completed by the industrial and professional users prior to their use. </w:t>
            </w:r>
          </w:p>
          <w:p w:rsidR="00FE448B" w:rsidRPr="00C379C8" w:rsidRDefault="008856E7" w:rsidP="002F6A28">
            <w:pPr>
              <w:spacing w:after="120"/>
            </w:pPr>
            <w:r w:rsidRPr="00C379C8">
              <w:t>Application of the restriction is deferred for 2 years for use and 18 months for placing on the market of diisocyanates to allow sufficient time to adapt and achieve compliance with the regulation.</w:t>
            </w:r>
          </w:p>
        </w:tc>
      </w:tr>
      <w:tr w:rsidR="00A427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exposure to diisocyanates in a concentration, individually or in any combination, equal to or greater than 0.1% by weight of the substances or mixtures poses a risk to human health, in particular a risk of occupational asthma in workers. The aim of the restriction is to prevent worker exposure to diisocyanates; if sensitisation is prevented by the exposure to these substances, elicitation of hypersensitivity reactions upon re-exposure would be avoided. The transitional period (2 years for use, 18 months for placing </w:t>
            </w:r>
            <w:r w:rsidR="00EE3A11" w:rsidRPr="00C379C8">
              <w:lastRenderedPageBreak/>
              <w:t>on the market) before the application of the proposed restriction will allow stakeholders sufficient time to comply with the proposed restriction and to ensure adequate communication throughout the supply chain.</w:t>
            </w:r>
            <w:bookmarkStart w:id="27" w:name="sps7f"/>
            <w:bookmarkEnd w:id="27"/>
          </w:p>
        </w:tc>
      </w:tr>
      <w:tr w:rsidR="00A427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856E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80397" w:rsidRPr="002F6A28" w:rsidRDefault="008856E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Regulation (EC) No 1907/2006 of the European Parliament and of the Council on the Registration, Evaluation, Authorisation and Restriction of Chemicals (REACH Regulation): </w:t>
            </w:r>
            <w:hyperlink r:id="rId7" w:history="1">
              <w:hyperlink r:id="rId8" w:history="1">
                <w:r w:rsidRPr="002F6A28">
                  <w:rPr>
                    <w:bCs/>
                    <w:color w:val="0000FF"/>
                    <w:u w:val="single"/>
                  </w:rPr>
                  <w:t>http://eur-lex.europa.eu/legal-content/EN/TXT/?qid=1423064258789&amp;uri=CELEX:32006R1907</w:t>
                </w:r>
              </w:hyperlink>
            </w:hyperlink>
          </w:p>
          <w:p w:rsidR="00380397" w:rsidRPr="002F6A28" w:rsidRDefault="008856E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opinions of the Committees for Risk Assessment (RAC) and Socio-economic Analysis (SEAC): </w:t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https://echa.europa.eu/documents/10162/d6794aa4-8e3a-6780-d079-77237244f5f9</w:t>
                </w:r>
              </w:hyperlink>
            </w:hyperlink>
            <w:r w:rsidRPr="002F6A28">
              <w:rPr>
                <w:bCs/>
              </w:rPr>
              <w:t xml:space="preserve">  </w:t>
            </w:r>
          </w:p>
          <w:p w:rsidR="00380397" w:rsidRPr="00F40643" w:rsidRDefault="008856E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Further background information is available at </w:t>
            </w:r>
            <w:hyperlink r:id="rId11" w:history="1">
              <w:hyperlink r:id="rId12" w:history="1">
                <w:r w:rsidRPr="002F6A28">
                  <w:rPr>
                    <w:bCs/>
                    <w:color w:val="0000FF"/>
                    <w:u w:val="single"/>
                  </w:rPr>
                  <w:t>https://echa.europa.eu/nl/registry-of-restriction-intentions/-/dislist/details/0b0236e180876053</w:t>
                </w:r>
              </w:hyperlink>
            </w:hyperlink>
          </w:p>
        </w:tc>
      </w:tr>
      <w:tr w:rsidR="00A4278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856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856E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2019</w:t>
            </w:r>
            <w:bookmarkEnd w:id="31"/>
          </w:p>
          <w:p w:rsidR="00EE3A11" w:rsidRPr="002F6A28" w:rsidRDefault="008856E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(the restriction will begin to apply 2 years after the date of entry into force)</w:t>
            </w:r>
            <w:bookmarkEnd w:id="34"/>
          </w:p>
        </w:tc>
      </w:tr>
      <w:tr w:rsidR="00A4278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856E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4278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856E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856E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8856E7" w:rsidRPr="008856E7" w:rsidRDefault="008856E7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FR"/>
              </w:rPr>
            </w:pPr>
            <w:proofErr w:type="spellStart"/>
            <w:r w:rsidRPr="008856E7">
              <w:rPr>
                <w:lang w:val="fr-FR"/>
              </w:rPr>
              <w:t>European</w:t>
            </w:r>
            <w:proofErr w:type="spellEnd"/>
            <w:r w:rsidRPr="008856E7">
              <w:rPr>
                <w:lang w:val="fr-FR"/>
              </w:rPr>
              <w:t xml:space="preserve"> Commission</w:t>
            </w:r>
            <w:r w:rsidRPr="008856E7">
              <w:rPr>
                <w:lang w:val="fr-FR"/>
              </w:rPr>
              <w:br/>
              <w:t>EU-</w:t>
            </w:r>
            <w:proofErr w:type="spellStart"/>
            <w:r w:rsidRPr="008856E7">
              <w:rPr>
                <w:lang w:val="fr-FR"/>
              </w:rPr>
              <w:t>TBT</w:t>
            </w:r>
            <w:proofErr w:type="spellEnd"/>
            <w:r w:rsidRPr="008856E7">
              <w:rPr>
                <w:lang w:val="fr-FR"/>
              </w:rPr>
              <w:t xml:space="preserve"> </w:t>
            </w:r>
            <w:proofErr w:type="spellStart"/>
            <w:r w:rsidRPr="008856E7">
              <w:rPr>
                <w:lang w:val="fr-FR"/>
              </w:rPr>
              <w:t>Enquiry</w:t>
            </w:r>
            <w:proofErr w:type="spellEnd"/>
            <w:r w:rsidRPr="008856E7">
              <w:rPr>
                <w:lang w:val="fr-FR"/>
              </w:rPr>
              <w:t xml:space="preserve"> Point</w:t>
            </w:r>
            <w:r w:rsidRPr="008856E7">
              <w:rPr>
                <w:lang w:val="fr-FR"/>
              </w:rPr>
              <w:br/>
              <w:t>Fax: + (32) 2 299 80 43</w:t>
            </w:r>
            <w:r w:rsidRPr="008856E7">
              <w:rPr>
                <w:lang w:val="fr-FR"/>
              </w:rPr>
              <w:br/>
              <w:t xml:space="preserve">E-mail: </w:t>
            </w:r>
            <w:hyperlink r:id="rId13" w:history="1">
              <w:r w:rsidRPr="008856E7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</w:p>
          <w:p w:rsidR="008856E7" w:rsidRDefault="008856E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</w:p>
          <w:p w:rsidR="00380397" w:rsidRPr="002F6A28" w:rsidRDefault="008856E7" w:rsidP="00B16145">
            <w:pPr>
              <w:keepNext/>
              <w:keepLines/>
              <w:spacing w:before="120" w:after="120"/>
              <w:jc w:val="left"/>
            </w:pPr>
            <w:hyperlink r:id="rId14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380397" w:rsidRPr="002F6A28" w:rsidRDefault="006B13E9" w:rsidP="00B16145">
            <w:pPr>
              <w:keepNext/>
              <w:keepLines/>
              <w:spacing w:before="120" w:after="120"/>
              <w:jc w:val="left"/>
            </w:pPr>
            <w:hyperlink r:id="rId15" w:history="1">
              <w:r w:rsidR="008856E7" w:rsidRPr="002F6A28">
                <w:rPr>
                  <w:color w:val="0000FF"/>
                  <w:u w:val="single"/>
                </w:rPr>
                <w:t>https://members.wto.org/crnattachments/2019/TBT/EEC/19_5064_00_e.pdf</w:t>
              </w:r>
            </w:hyperlink>
            <w:r w:rsidR="008856E7" w:rsidRPr="002F6A28">
              <w:br/>
            </w:r>
            <w:hyperlink r:id="rId16" w:history="1">
              <w:r w:rsidR="008856E7" w:rsidRPr="002F6A28">
                <w:rPr>
                  <w:color w:val="0000FF"/>
                  <w:u w:val="single"/>
                </w:rPr>
                <w:t>https://members.wto.org/crnattachments/2019/TBT/EEC/19_5064_01_e.pdf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13" w:rsidRDefault="008856E7">
      <w:r>
        <w:separator/>
      </w:r>
    </w:p>
  </w:endnote>
  <w:endnote w:type="continuationSeparator" w:id="0">
    <w:p w:rsidR="00123A13" w:rsidRDefault="0088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856E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856E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856E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13" w:rsidRDefault="008856E7">
      <w:r>
        <w:separator/>
      </w:r>
    </w:p>
  </w:footnote>
  <w:footnote w:type="continuationSeparator" w:id="0">
    <w:p w:rsidR="00123A13" w:rsidRDefault="0088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856E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856E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856E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G/TBT/N/EU/681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856E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4278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4278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856E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9958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4278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8856E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G/TBT/N/EU/681</w:t>
          </w:r>
          <w:bookmarkEnd w:id="43"/>
        </w:p>
      </w:tc>
    </w:tr>
    <w:tr w:rsidR="00A4278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856E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September 2019</w:t>
          </w:r>
        </w:p>
      </w:tc>
    </w:tr>
    <w:tr w:rsidR="00A4278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856E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6B13E9">
            <w:rPr>
              <w:color w:val="FF0000"/>
              <w:szCs w:val="16"/>
            </w:rPr>
            <w:t>5898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856E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4278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856E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856E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6E95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325E1A" w:tentative="1">
      <w:start w:val="1"/>
      <w:numFmt w:val="lowerLetter"/>
      <w:lvlText w:val="%2."/>
      <w:lvlJc w:val="left"/>
      <w:pPr>
        <w:ind w:left="1080" w:hanging="360"/>
      </w:pPr>
    </w:lvl>
    <w:lvl w:ilvl="2" w:tplc="AA4823FE" w:tentative="1">
      <w:start w:val="1"/>
      <w:numFmt w:val="lowerRoman"/>
      <w:lvlText w:val="%3."/>
      <w:lvlJc w:val="right"/>
      <w:pPr>
        <w:ind w:left="1800" w:hanging="180"/>
      </w:pPr>
    </w:lvl>
    <w:lvl w:ilvl="3" w:tplc="47DE7498" w:tentative="1">
      <w:start w:val="1"/>
      <w:numFmt w:val="decimal"/>
      <w:lvlText w:val="%4."/>
      <w:lvlJc w:val="left"/>
      <w:pPr>
        <w:ind w:left="2520" w:hanging="360"/>
      </w:pPr>
    </w:lvl>
    <w:lvl w:ilvl="4" w:tplc="7CE4C214" w:tentative="1">
      <w:start w:val="1"/>
      <w:numFmt w:val="lowerLetter"/>
      <w:lvlText w:val="%5."/>
      <w:lvlJc w:val="left"/>
      <w:pPr>
        <w:ind w:left="3240" w:hanging="360"/>
      </w:pPr>
    </w:lvl>
    <w:lvl w:ilvl="5" w:tplc="0066A8BC" w:tentative="1">
      <w:start w:val="1"/>
      <w:numFmt w:val="lowerRoman"/>
      <w:lvlText w:val="%6."/>
      <w:lvlJc w:val="right"/>
      <w:pPr>
        <w:ind w:left="3960" w:hanging="180"/>
      </w:pPr>
    </w:lvl>
    <w:lvl w:ilvl="6" w:tplc="C2EEA736" w:tentative="1">
      <w:start w:val="1"/>
      <w:numFmt w:val="decimal"/>
      <w:lvlText w:val="%7."/>
      <w:lvlJc w:val="left"/>
      <w:pPr>
        <w:ind w:left="4680" w:hanging="360"/>
      </w:pPr>
    </w:lvl>
    <w:lvl w:ilvl="7" w:tplc="55FE5934" w:tentative="1">
      <w:start w:val="1"/>
      <w:numFmt w:val="lowerLetter"/>
      <w:lvlText w:val="%8."/>
      <w:lvlJc w:val="left"/>
      <w:pPr>
        <w:ind w:left="5400" w:hanging="360"/>
      </w:pPr>
    </w:lvl>
    <w:lvl w:ilvl="8" w:tplc="95F453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94856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FCF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16B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A213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C826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DE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FA2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9A3F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7C8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3A13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0397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B13E9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56E7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4278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0E56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0643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2975B"/>
  <w15:docId w15:val="{A30BE197-E065-4703-9123-199607E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qid=1423064258789&amp;uri=CELEX:32006R1907" TargetMode="External"/><Relationship Id="rId13" Type="http://schemas.openxmlformats.org/officeDocument/2006/relationships/hyperlink" Target="mailto:grow-eu-tbt@ec.europa.e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eur-lex.europa.eu/legal-content/EN/TXT/?qid=1423064258789&amp;uri=CELEX:32006R1907" TargetMode="External"/><Relationship Id="rId12" Type="http://schemas.openxmlformats.org/officeDocument/2006/relationships/hyperlink" Target="https://echa.europa.eu/nl/registry-of-restriction-intentions/-/dislist/details/0b0236e18087605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9/TBT/EEC/19_5064_01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ha.europa.eu/nl/registry-of-restriction-intentions/-/dislist/details/0b0236e18087605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EEC/19_5064_00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ha.europa.eu/documents/10162/d6794aa4-8e3a-6780-d079-77237244f5f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ha.europa.eu/documents/10162/d6794aa4-8e3a-6780-d079-77237244f5f9" TargetMode="External"/><Relationship Id="rId14" Type="http://schemas.openxmlformats.org/officeDocument/2006/relationships/hyperlink" Target="http://ec.europa.eu/growth/tools-databases/tbt/en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2019-09-16T07:57:00Z</dcterms:created>
  <dcterms:modified xsi:type="dcterms:W3CDTF">2019-09-16T08:22:00Z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