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55DC5" w:rsidP="00155DC5">
      <w:pPr>
        <w:pStyle w:val="Titre"/>
        <w:spacing w:before="240"/>
        <w:rPr>
          <w:caps w:val="0"/>
          <w:kern w:val="0"/>
        </w:rPr>
      </w:pPr>
      <w:r w:rsidRPr="002F6A28">
        <w:rPr>
          <w:caps w:val="0"/>
          <w:kern w:val="0"/>
        </w:rPr>
        <w:t>NOTIFICATION</w:t>
      </w:r>
    </w:p>
    <w:p w:rsidR="009239F7" w:rsidRPr="002F6A28" w:rsidRDefault="00155DC5"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E75EC" w:rsidTr="0069259F">
        <w:tc>
          <w:tcPr>
            <w:tcW w:w="713" w:type="dxa"/>
            <w:tcBorders>
              <w:bottom w:val="single" w:sz="6" w:space="0" w:color="auto"/>
            </w:tcBorders>
            <w:shd w:val="clear" w:color="auto" w:fill="auto"/>
          </w:tcPr>
          <w:p w:rsidR="00F85C99" w:rsidRPr="002F6A28" w:rsidRDefault="00155DC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55DC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155DC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E75EC" w:rsidRPr="00F31E93" w:rsidTr="0069259F">
        <w:tc>
          <w:tcPr>
            <w:tcW w:w="713" w:type="dxa"/>
            <w:tcBorders>
              <w:top w:val="single" w:sz="6" w:space="0" w:color="auto"/>
              <w:bottom w:val="single" w:sz="6" w:space="0" w:color="auto"/>
            </w:tcBorders>
            <w:shd w:val="clear" w:color="auto" w:fill="auto"/>
          </w:tcPr>
          <w:p w:rsidR="00F85C99" w:rsidRPr="002F6A28" w:rsidRDefault="00155DC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55DC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rsidR="00F85C99" w:rsidRPr="002F6A28" w:rsidRDefault="00155DC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053EC4" w:rsidRPr="001E7810" w:rsidRDefault="00155DC5" w:rsidP="00AA646C">
            <w:pPr>
              <w:spacing w:after="120"/>
              <w:jc w:val="left"/>
              <w:rPr>
                <w:lang w:val="fr-CH"/>
              </w:rPr>
            </w:pPr>
            <w:proofErr w:type="spellStart"/>
            <w:r w:rsidRPr="001E7810">
              <w:rPr>
                <w:lang w:val="fr-CH"/>
              </w:rPr>
              <w:t>European</w:t>
            </w:r>
            <w:proofErr w:type="spellEnd"/>
            <w:r w:rsidRPr="001E7810">
              <w:rPr>
                <w:lang w:val="fr-CH"/>
              </w:rPr>
              <w:t xml:space="preserve"> Commission</w:t>
            </w:r>
            <w:r w:rsidRPr="001E7810">
              <w:rPr>
                <w:lang w:val="fr-CH"/>
              </w:rPr>
              <w:br/>
              <w:t>EU-</w:t>
            </w:r>
            <w:proofErr w:type="spellStart"/>
            <w:r w:rsidRPr="001E7810">
              <w:rPr>
                <w:lang w:val="fr-CH"/>
              </w:rPr>
              <w:t>TBT</w:t>
            </w:r>
            <w:proofErr w:type="spellEnd"/>
            <w:r w:rsidRPr="001E7810">
              <w:rPr>
                <w:lang w:val="fr-CH"/>
              </w:rPr>
              <w:t xml:space="preserve"> </w:t>
            </w:r>
            <w:proofErr w:type="spellStart"/>
            <w:r w:rsidRPr="001E7810">
              <w:rPr>
                <w:lang w:val="fr-CH"/>
              </w:rPr>
              <w:t>Enquiry</w:t>
            </w:r>
            <w:proofErr w:type="spellEnd"/>
            <w:r w:rsidRPr="001E7810">
              <w:rPr>
                <w:lang w:val="fr-CH"/>
              </w:rPr>
              <w:t xml:space="preserve"> Point</w:t>
            </w:r>
            <w:r w:rsidRPr="001E7810">
              <w:rPr>
                <w:lang w:val="fr-CH"/>
              </w:rPr>
              <w:br/>
              <w:t>Fax: +(32) 2 299 80 43</w:t>
            </w:r>
            <w:r w:rsidRPr="001E7810">
              <w:rPr>
                <w:lang w:val="fr-CH"/>
              </w:rPr>
              <w:br/>
              <w:t xml:space="preserve">E-mail: </w:t>
            </w:r>
            <w:r w:rsidR="00F31E93">
              <w:fldChar w:fldCharType="begin"/>
            </w:r>
            <w:r w:rsidR="00F31E93" w:rsidRPr="00F31E93">
              <w:rPr>
                <w:lang w:val="fr-FR"/>
              </w:rPr>
              <w:instrText xml:space="preserve"> HYPERLINK "mailto:grow-eu-tbt@ec.europa.eu" </w:instrText>
            </w:r>
            <w:r w:rsidR="00F31E93">
              <w:fldChar w:fldCharType="separate"/>
            </w:r>
            <w:r w:rsidRPr="001E7810">
              <w:rPr>
                <w:color w:val="0000FF"/>
                <w:u w:val="single"/>
                <w:lang w:val="fr-CH"/>
              </w:rPr>
              <w:t>grow-eu-tbt@ec.europa.eu</w:t>
            </w:r>
            <w:r w:rsidR="00F31E93">
              <w:rPr>
                <w:color w:val="0000FF"/>
                <w:u w:val="single"/>
                <w:lang w:val="fr-CH"/>
              </w:rPr>
              <w:fldChar w:fldCharType="end"/>
            </w:r>
            <w:r w:rsidRPr="001E7810">
              <w:rPr>
                <w:lang w:val="fr-CH"/>
              </w:rPr>
              <w:br/>
            </w:r>
            <w:proofErr w:type="spellStart"/>
            <w:r w:rsidRPr="001E7810">
              <w:rPr>
                <w:lang w:val="fr-CH"/>
              </w:rPr>
              <w:t>Website</w:t>
            </w:r>
            <w:proofErr w:type="spellEnd"/>
            <w:r w:rsidRPr="001E7810">
              <w:rPr>
                <w:lang w:val="fr-CH"/>
              </w:rPr>
              <w:t xml:space="preserve">: </w:t>
            </w:r>
            <w:hyperlink r:id="rId7" w:history="1">
              <w:r w:rsidRPr="001E7810">
                <w:rPr>
                  <w:color w:val="0000FF"/>
                  <w:u w:val="single"/>
                  <w:lang w:val="fr-CH"/>
                </w:rPr>
                <w:t>http://ec.europa.eu/growth/tools-databases/tbt/en/</w:t>
              </w:r>
            </w:hyperlink>
            <w:r w:rsidRPr="001E7810">
              <w:rPr>
                <w:lang w:val="fr-CH"/>
              </w:rPr>
              <w:t xml:space="preserve"> </w:t>
            </w:r>
            <w:bookmarkEnd w:id="7"/>
          </w:p>
        </w:tc>
      </w:tr>
      <w:tr w:rsidR="00BE75EC" w:rsidTr="0069259F">
        <w:tc>
          <w:tcPr>
            <w:tcW w:w="713" w:type="dxa"/>
            <w:tcBorders>
              <w:top w:val="single" w:sz="6" w:space="0" w:color="auto"/>
              <w:bottom w:val="single" w:sz="6" w:space="0" w:color="auto"/>
            </w:tcBorders>
            <w:shd w:val="clear" w:color="auto" w:fill="auto"/>
          </w:tcPr>
          <w:p w:rsidR="00F85C99" w:rsidRPr="002F6A28" w:rsidRDefault="00155DC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155DC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E75EC" w:rsidTr="0069259F">
        <w:tc>
          <w:tcPr>
            <w:tcW w:w="713" w:type="dxa"/>
            <w:tcBorders>
              <w:top w:val="single" w:sz="6" w:space="0" w:color="auto"/>
              <w:bottom w:val="single" w:sz="6" w:space="0" w:color="auto"/>
            </w:tcBorders>
            <w:shd w:val="clear" w:color="auto" w:fill="auto"/>
          </w:tcPr>
          <w:p w:rsidR="00F85C99" w:rsidRPr="002F6A28" w:rsidRDefault="00155DC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55DC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Chemicals</w:t>
            </w:r>
            <w:bookmarkStart w:id="20" w:name="sps3a"/>
            <w:bookmarkEnd w:id="20"/>
          </w:p>
        </w:tc>
      </w:tr>
      <w:tr w:rsidR="00BE75EC" w:rsidTr="0069259F">
        <w:tc>
          <w:tcPr>
            <w:tcW w:w="713" w:type="dxa"/>
            <w:tcBorders>
              <w:top w:val="single" w:sz="6" w:space="0" w:color="auto"/>
              <w:bottom w:val="single" w:sz="6" w:space="0" w:color="auto"/>
            </w:tcBorders>
            <w:shd w:val="clear" w:color="auto" w:fill="auto"/>
          </w:tcPr>
          <w:p w:rsidR="00F85C99" w:rsidRPr="002F6A28" w:rsidRDefault="00155DC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55DC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Regulation amending Annex II to Regulation (EC) No 1907/2006 of the European Parliament and of the Council on the Registration, Evaluation, Authorisation and Restriction of Chemicals (REACH) (4 pages + Annex 36 pages, in English)</w:t>
            </w:r>
            <w:bookmarkStart w:id="22" w:name="sps5a"/>
            <w:bookmarkStart w:id="23" w:name="sps5c"/>
            <w:bookmarkStart w:id="24" w:name="sps5b"/>
            <w:bookmarkEnd w:id="22"/>
            <w:bookmarkEnd w:id="23"/>
            <w:bookmarkEnd w:id="24"/>
          </w:p>
        </w:tc>
      </w:tr>
      <w:tr w:rsidR="00BE75EC" w:rsidTr="0069259F">
        <w:tc>
          <w:tcPr>
            <w:tcW w:w="713" w:type="dxa"/>
            <w:tcBorders>
              <w:top w:val="single" w:sz="6" w:space="0" w:color="auto"/>
              <w:bottom w:val="single" w:sz="6" w:space="0" w:color="auto"/>
            </w:tcBorders>
            <w:shd w:val="clear" w:color="auto" w:fill="auto"/>
          </w:tcPr>
          <w:p w:rsidR="00F85C99" w:rsidRPr="002F6A28" w:rsidRDefault="00155DC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55DC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Regulation relates to an update of Annex II to Regulation (EC) No 1907/2006 (REACH) on requirements for safety data sheets (SDS):</w:t>
            </w:r>
          </w:p>
          <w:p w:rsidR="00FE448B" w:rsidRPr="00C379C8" w:rsidRDefault="00155DC5" w:rsidP="00155DC5">
            <w:pPr>
              <w:numPr>
                <w:ilvl w:val="0"/>
                <w:numId w:val="16"/>
              </w:numPr>
              <w:spacing w:before="120" w:after="120"/>
            </w:pPr>
            <w:r w:rsidRPr="00C379C8">
              <w:t>Alignment with the Globally Harmonized System of Classification and Labelling of Chemicals (GHS), 6</w:t>
            </w:r>
            <w:r w:rsidRPr="00C379C8">
              <w:rPr>
                <w:vertAlign w:val="superscript"/>
              </w:rPr>
              <w:t>th</w:t>
            </w:r>
            <w:r w:rsidRPr="00C379C8">
              <w:t xml:space="preserve"> and 7</w:t>
            </w:r>
            <w:r w:rsidRPr="00C379C8">
              <w:rPr>
                <w:vertAlign w:val="superscript"/>
              </w:rPr>
              <w:t>th</w:t>
            </w:r>
            <w:r w:rsidRPr="00C379C8">
              <w:t xml:space="preserve"> revisions, most prominently in Sections 9 (Physical and chemical properties) and 14 (Transport).</w:t>
            </w:r>
          </w:p>
          <w:p w:rsidR="00FE448B" w:rsidRPr="00C379C8" w:rsidRDefault="00155DC5" w:rsidP="00155DC5">
            <w:pPr>
              <w:numPr>
                <w:ilvl w:val="0"/>
                <w:numId w:val="16"/>
              </w:numPr>
              <w:spacing w:before="120" w:after="120"/>
            </w:pPr>
            <w:r w:rsidRPr="00C379C8">
              <w:t>Alignment with the provisions of Annex VIII (on emergency health response) to Regulation (EC) No 1272/2008 on classification, labelling and packaging of substances and mixtures (CLP), in particular in relation to the Unique Formula Identifiers (UFIs) assigned to hazardous mixtures, in Section 1 (Identification).</w:t>
            </w:r>
          </w:p>
          <w:p w:rsidR="00FE448B" w:rsidRPr="00C379C8" w:rsidRDefault="00155DC5" w:rsidP="00155DC5">
            <w:pPr>
              <w:numPr>
                <w:ilvl w:val="0"/>
                <w:numId w:val="16"/>
              </w:numPr>
              <w:spacing w:before="120" w:after="120"/>
            </w:pPr>
            <w:r w:rsidRPr="00C379C8">
              <w:t>Alignment with the new provisions for nanoform substances, adopted on 3</w:t>
            </w:r>
            <w:r w:rsidR="0098637C">
              <w:t> </w:t>
            </w:r>
            <w:r w:rsidRPr="00C379C8">
              <w:t>December 2018 through the revision of REACH Annexes I, III, and VI-XII to REACH (Commission Regulation (EU) 2018/1881), in Sections 1 (Identification), 3 (Composition/information on ingredients) and 9 (Physical and chemical properties).</w:t>
            </w:r>
          </w:p>
          <w:p w:rsidR="00FE448B" w:rsidRPr="00C379C8" w:rsidRDefault="00155DC5" w:rsidP="002F6A28">
            <w:pPr>
              <w:spacing w:after="120"/>
            </w:pPr>
            <w:r w:rsidRPr="00C379C8">
              <w:t>In addition to the above three main changes, a number of smaller amendments are proposed to the text, related to recent developments in the Commission's approaches to risk management of chemicals, such as on endocrine disruptors.</w:t>
            </w:r>
          </w:p>
          <w:p w:rsidR="00FE448B" w:rsidRPr="00C379C8" w:rsidRDefault="00155DC5" w:rsidP="002F6A28">
            <w:pPr>
              <w:spacing w:after="120"/>
            </w:pPr>
            <w:r w:rsidRPr="00C379C8">
              <w:t xml:space="preserve">Application of the amended Annex is deferred to 31 December 2022 to allow stakeholders sufficient time to adapt and achieve compliance. </w:t>
            </w:r>
          </w:p>
        </w:tc>
      </w:tr>
      <w:tr w:rsidR="00BE75EC" w:rsidTr="0069259F">
        <w:tc>
          <w:tcPr>
            <w:tcW w:w="713" w:type="dxa"/>
            <w:tcBorders>
              <w:top w:val="single" w:sz="6" w:space="0" w:color="auto"/>
              <w:bottom w:val="single" w:sz="6" w:space="0" w:color="auto"/>
            </w:tcBorders>
            <w:shd w:val="clear" w:color="auto" w:fill="auto"/>
          </w:tcPr>
          <w:p w:rsidR="00F85C99" w:rsidRPr="002F6A28" w:rsidRDefault="00155DC5"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155DC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High level of protection of human health and the environment and free circulation of goods on the internal market. </w:t>
            </w:r>
            <w:bookmarkStart w:id="27" w:name="sps7f"/>
            <w:bookmarkEnd w:id="27"/>
          </w:p>
        </w:tc>
      </w:tr>
      <w:tr w:rsidR="00BE75EC" w:rsidTr="0069259F">
        <w:tc>
          <w:tcPr>
            <w:tcW w:w="713" w:type="dxa"/>
            <w:tcBorders>
              <w:top w:val="single" w:sz="6" w:space="0" w:color="auto"/>
              <w:bottom w:val="single" w:sz="6" w:space="0" w:color="auto"/>
            </w:tcBorders>
            <w:shd w:val="clear" w:color="auto" w:fill="auto"/>
          </w:tcPr>
          <w:p w:rsidR="00F85C99" w:rsidRPr="002F6A28" w:rsidRDefault="00155DC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55DC5" w:rsidP="00155DC5">
            <w:pPr>
              <w:spacing w:before="120" w:after="120"/>
              <w:jc w:val="left"/>
            </w:pPr>
            <w:bookmarkStart w:id="28" w:name="X_TBT_Reg_8A"/>
            <w:r w:rsidRPr="002F6A28">
              <w:rPr>
                <w:b/>
              </w:rPr>
              <w:t>Relevant documents</w:t>
            </w:r>
            <w:bookmarkEnd w:id="28"/>
            <w:r w:rsidRPr="002F6A28">
              <w:rPr>
                <w:b/>
              </w:rPr>
              <w:t>:</w:t>
            </w:r>
            <w:r w:rsidR="00EE3A11" w:rsidRPr="002F6A28">
              <w:t xml:space="preserve"> </w:t>
            </w:r>
          </w:p>
          <w:p w:rsidR="00053EC4" w:rsidRPr="00C40A6A" w:rsidRDefault="00155DC5" w:rsidP="00155DC5">
            <w:pPr>
              <w:numPr>
                <w:ilvl w:val="0"/>
                <w:numId w:val="17"/>
              </w:numPr>
              <w:spacing w:before="120" w:after="120"/>
              <w:jc w:val="left"/>
              <w:rPr>
                <w:bCs/>
              </w:rPr>
            </w:pPr>
            <w:r w:rsidRPr="00C40A6A">
              <w:rPr>
                <w:bCs/>
              </w:rPr>
              <w:t>Regulation (EC) No 1907/2006 of the European Parliament and of the Council on the Registration, Evaluation, Authorisation and Restriction of Chemicals (REACH Regulation):</w:t>
            </w:r>
            <w:r>
              <w:rPr>
                <w:bCs/>
              </w:rPr>
              <w:t xml:space="preserve"> </w:t>
            </w:r>
            <w:hyperlink r:id="rId8" w:history="1">
              <w:r w:rsidR="005344A6" w:rsidRPr="00C40A6A">
                <w:rPr>
                  <w:rStyle w:val="Lienhypertexte"/>
                  <w:bCs/>
                </w:rPr>
                <w:t>http://eur-lex.europa.eu/legal-content/EN/TXT/?qid=1423064258789&amp;uri=CELEX:32006R1907</w:t>
              </w:r>
            </w:hyperlink>
          </w:p>
          <w:p w:rsidR="00053EC4" w:rsidRPr="00C40A6A" w:rsidRDefault="00155DC5" w:rsidP="00155DC5">
            <w:pPr>
              <w:numPr>
                <w:ilvl w:val="0"/>
                <w:numId w:val="17"/>
              </w:numPr>
              <w:spacing w:before="120" w:after="120"/>
              <w:jc w:val="left"/>
              <w:rPr>
                <w:bCs/>
              </w:rPr>
            </w:pPr>
            <w:r w:rsidRPr="00C40A6A">
              <w:rPr>
                <w:bCs/>
              </w:rPr>
              <w:t>Regulation (EC) No 1272/2008 on the classification, labelling and packaging of substances and mixtures (CLP):</w:t>
            </w:r>
            <w:r>
              <w:rPr>
                <w:bCs/>
              </w:rPr>
              <w:t xml:space="preserve"> </w:t>
            </w:r>
            <w:hyperlink r:id="rId9" w:history="1">
              <w:r w:rsidRPr="00C40A6A">
                <w:rPr>
                  <w:bCs/>
                  <w:color w:val="0000FF"/>
                  <w:u w:val="single"/>
                </w:rPr>
                <w:t>http://data.europa.eu/eli/reg/2017/542/oj</w:t>
              </w:r>
            </w:hyperlink>
          </w:p>
          <w:p w:rsidR="00C76F7C" w:rsidRPr="00155DC5" w:rsidRDefault="00155DC5" w:rsidP="00155DC5">
            <w:pPr>
              <w:numPr>
                <w:ilvl w:val="0"/>
                <w:numId w:val="17"/>
              </w:numPr>
              <w:spacing w:before="120" w:after="120"/>
              <w:jc w:val="left"/>
              <w:rPr>
                <w:bCs/>
              </w:rPr>
            </w:pPr>
            <w:r w:rsidRPr="00155DC5">
              <w:rPr>
                <w:bCs/>
              </w:rPr>
              <w:t>Globally Harmonized System of Classification and Labelling of Chemicals (GHS), Sixth revised edition (2015):</w:t>
            </w:r>
            <w:r>
              <w:rPr>
                <w:bCs/>
              </w:rPr>
              <w:t xml:space="preserve"> </w:t>
            </w:r>
            <w:hyperlink r:id="rId10" w:anchor="c38156" w:history="1">
              <w:r w:rsidR="005344A6" w:rsidRPr="00155DC5">
                <w:rPr>
                  <w:rStyle w:val="Lienhypertexte"/>
                  <w:bCs/>
                </w:rPr>
                <w:t>https://www.unece.org/trans/danger/publi/ghs/ghs_rev06/06files_e.html#c38156</w:t>
              </w:r>
            </w:hyperlink>
          </w:p>
          <w:p w:rsidR="00E41AE3" w:rsidRPr="00C40A6A" w:rsidRDefault="00155DC5" w:rsidP="00155DC5">
            <w:pPr>
              <w:numPr>
                <w:ilvl w:val="0"/>
                <w:numId w:val="17"/>
              </w:numPr>
              <w:spacing w:before="120" w:after="120"/>
              <w:jc w:val="left"/>
              <w:rPr>
                <w:bCs/>
              </w:rPr>
            </w:pPr>
            <w:r w:rsidRPr="00C40A6A">
              <w:rPr>
                <w:bCs/>
              </w:rPr>
              <w:t xml:space="preserve">Globally Harmonized System of Classification and Labelling of Chemicals (GHS), Seventh revised edition (2017): </w:t>
            </w:r>
            <w:hyperlink r:id="rId11" w:anchor="c61353" w:history="1">
              <w:r w:rsidR="005344A6" w:rsidRPr="00830FC0">
                <w:rPr>
                  <w:rStyle w:val="Lienhypertexte"/>
                </w:rPr>
                <w:t>https://www.unece.org/trans/danger/publi/ghs/ghs_rev07/07files_e.html#c61353</w:t>
              </w:r>
            </w:hyperlink>
          </w:p>
          <w:p w:rsidR="00053EC4" w:rsidRPr="00C40A6A" w:rsidRDefault="00155DC5" w:rsidP="00155DC5">
            <w:pPr>
              <w:numPr>
                <w:ilvl w:val="0"/>
                <w:numId w:val="17"/>
              </w:numPr>
              <w:spacing w:before="120" w:after="120"/>
              <w:jc w:val="left"/>
              <w:rPr>
                <w:bCs/>
              </w:rPr>
            </w:pPr>
            <w:r w:rsidRPr="00C40A6A">
              <w:rPr>
                <w:bCs/>
              </w:rPr>
              <w:t>Regulation (EU) 2017/542 of 22 March 2017 amending Regulation (EC) No</w:t>
            </w:r>
            <w:r w:rsidR="0035174B" w:rsidRPr="00C40A6A">
              <w:rPr>
                <w:bCs/>
              </w:rPr>
              <w:t> </w:t>
            </w:r>
            <w:r w:rsidRPr="00C40A6A">
              <w:rPr>
                <w:bCs/>
              </w:rPr>
              <w:t>1272/2008 of the European Parliament and of the Council on classification, labelling and packaging of substances and mixtures by adding an Annex on harmonised information relating to emergency health response</w:t>
            </w:r>
            <w:r w:rsidR="0035174B" w:rsidRPr="00C40A6A">
              <w:rPr>
                <w:bCs/>
              </w:rPr>
              <w:t>:</w:t>
            </w:r>
            <w:r>
              <w:rPr>
                <w:bCs/>
              </w:rPr>
              <w:t xml:space="preserve"> </w:t>
            </w:r>
            <w:hyperlink r:id="rId12" w:history="1">
              <w:r w:rsidR="005344A6" w:rsidRPr="00C40A6A">
                <w:rPr>
                  <w:rStyle w:val="Lienhypertexte"/>
                  <w:bCs/>
                </w:rPr>
                <w:t>https://eur-lex.europa.eu/legal-content/EN/TXT/?uri=CELEX%3A32017R0542</w:t>
              </w:r>
            </w:hyperlink>
            <w:r w:rsidRPr="00C40A6A">
              <w:rPr>
                <w:bCs/>
              </w:rPr>
              <w:t xml:space="preserve">  </w:t>
            </w:r>
          </w:p>
          <w:p w:rsidR="00053EC4" w:rsidRPr="002F6A28" w:rsidRDefault="00155DC5" w:rsidP="00155DC5">
            <w:pPr>
              <w:numPr>
                <w:ilvl w:val="0"/>
                <w:numId w:val="17"/>
              </w:numPr>
              <w:spacing w:before="120" w:after="120"/>
              <w:jc w:val="left"/>
              <w:rPr>
                <w:bCs/>
              </w:rPr>
            </w:pPr>
            <w:r w:rsidRPr="002F6A28">
              <w:rPr>
                <w:bCs/>
              </w:rPr>
              <w:t>Commission Regulation (EU) 2018/1881 of 3 December 2018 amending Regulation (EC) No 1907/2006 of the European Parliament and of the Council on the Registration, Evaluation, Authorisation and Restriction of Chemicals (REACH) as regards Annexes I, III,VI, VII, VIII, IX, X, XI, and XII to address nanoforms of substances:</w:t>
            </w:r>
            <w:r>
              <w:rPr>
                <w:bCs/>
              </w:rPr>
              <w:t xml:space="preserve"> </w:t>
            </w:r>
            <w:hyperlink r:id="rId13" w:history="1">
              <w:r w:rsidRPr="002F6A28">
                <w:rPr>
                  <w:bCs/>
                  <w:color w:val="0000FF"/>
                  <w:u w:val="single"/>
                </w:rPr>
                <w:t>https://eur-lex.europa.eu/legal-content/EN/TXT/PDF/?uri=CELEX:32018R1881&amp;from=EN</w:t>
              </w:r>
            </w:hyperlink>
            <w:r w:rsidRPr="002F6A28">
              <w:rPr>
                <w:bCs/>
              </w:rPr>
              <w:t> </w:t>
            </w:r>
          </w:p>
        </w:tc>
      </w:tr>
      <w:tr w:rsidR="00BE75EC" w:rsidTr="00AE6CC8">
        <w:trPr>
          <w:cantSplit/>
        </w:trPr>
        <w:tc>
          <w:tcPr>
            <w:tcW w:w="713" w:type="dxa"/>
            <w:tcBorders>
              <w:top w:val="single" w:sz="6" w:space="0" w:color="auto"/>
              <w:bottom w:val="single" w:sz="6" w:space="0" w:color="auto"/>
            </w:tcBorders>
            <w:shd w:val="clear" w:color="auto" w:fill="auto"/>
          </w:tcPr>
          <w:p w:rsidR="00EE3A11" w:rsidRPr="002F6A28" w:rsidRDefault="00155DC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55DC5"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First quarter of 2020.</w:t>
            </w:r>
            <w:bookmarkEnd w:id="31"/>
          </w:p>
          <w:p w:rsidR="00EE3A11" w:rsidRPr="002F6A28" w:rsidRDefault="00155DC5"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20 days from publication in the Official Journal of the EU. The deadline to apply the provisions of the amendment will be 31 December 2022, except for cases where the Unique Formula Identifier (UFI) has to be provided in the SDS, i.e. in the absence of a label carrying the UFI. </w:t>
            </w:r>
            <w:bookmarkEnd w:id="34"/>
          </w:p>
        </w:tc>
      </w:tr>
      <w:tr w:rsidR="00BE75EC" w:rsidTr="0069259F">
        <w:tc>
          <w:tcPr>
            <w:tcW w:w="713" w:type="dxa"/>
            <w:tcBorders>
              <w:top w:val="single" w:sz="6" w:space="0" w:color="auto"/>
              <w:bottom w:val="single" w:sz="6" w:space="0" w:color="auto"/>
            </w:tcBorders>
            <w:shd w:val="clear" w:color="auto" w:fill="auto"/>
          </w:tcPr>
          <w:p w:rsidR="00F85C99" w:rsidRPr="002F6A28" w:rsidRDefault="00155DC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55DC5"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BE75EC" w:rsidTr="0069259F">
        <w:tc>
          <w:tcPr>
            <w:tcW w:w="713" w:type="dxa"/>
            <w:tcBorders>
              <w:top w:val="single" w:sz="6" w:space="0" w:color="auto"/>
            </w:tcBorders>
            <w:shd w:val="clear" w:color="auto" w:fill="auto"/>
          </w:tcPr>
          <w:p w:rsidR="00F85C99" w:rsidRPr="002F6A28" w:rsidRDefault="00155DC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155DC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C76F7C" w:rsidRPr="00C76F7C" w:rsidRDefault="00155DC5" w:rsidP="00B16145">
            <w:pPr>
              <w:keepNext/>
              <w:keepLines/>
              <w:spacing w:before="120" w:after="120"/>
              <w:jc w:val="left"/>
              <w:rPr>
                <w:color w:val="0000FF"/>
                <w:u w:val="single"/>
                <w:lang w:val="fr-CH"/>
              </w:rPr>
            </w:pPr>
            <w:r w:rsidRPr="00C76F7C">
              <w:rPr>
                <w:lang w:val="fr-CH"/>
              </w:rPr>
              <w:t>European Commission</w:t>
            </w:r>
            <w:r w:rsidRPr="00C76F7C">
              <w:rPr>
                <w:lang w:val="fr-CH"/>
              </w:rPr>
              <w:br/>
              <w:t>EU-TBT Enquiry Point</w:t>
            </w:r>
            <w:r w:rsidRPr="00C76F7C">
              <w:rPr>
                <w:lang w:val="fr-CH"/>
              </w:rPr>
              <w:br/>
              <w:t>Fax: + (32) 2 299 80 43</w:t>
            </w:r>
            <w:r w:rsidRPr="00C76F7C">
              <w:rPr>
                <w:lang w:val="fr-CH"/>
              </w:rPr>
              <w:br/>
              <w:t xml:space="preserve">E-mail: </w:t>
            </w:r>
            <w:hyperlink r:id="rId14" w:history="1">
              <w:r w:rsidRPr="00C76F7C">
                <w:rPr>
                  <w:color w:val="0000FF"/>
                  <w:u w:val="single"/>
                  <w:lang w:val="fr-CH"/>
                </w:rPr>
                <w:t>grow-eu-tbt@ec.europa.eu</w:t>
              </w:r>
            </w:hyperlink>
          </w:p>
          <w:p w:rsidR="00053EC4" w:rsidRPr="002F6A28" w:rsidRDefault="00155DC5" w:rsidP="00B16145">
            <w:pPr>
              <w:keepNext/>
              <w:keepLines/>
              <w:spacing w:before="120" w:after="120"/>
              <w:jc w:val="left"/>
            </w:pPr>
            <w:r w:rsidRPr="002F6A28">
              <w:t xml:space="preserve">The text is available on the EU-TBT Website: </w:t>
            </w:r>
            <w:hyperlink r:id="rId15" w:history="1">
              <w:r w:rsidRPr="002F6A28">
                <w:rPr>
                  <w:color w:val="0000FF"/>
                  <w:u w:val="single"/>
                </w:rPr>
                <w:t>http://ec.europa.eu/growth/tools-databases/tbt/en/</w:t>
              </w:r>
            </w:hyperlink>
          </w:p>
          <w:p w:rsidR="00891ADD" w:rsidRDefault="00F31E93" w:rsidP="00B16145">
            <w:pPr>
              <w:keepNext/>
              <w:keepLines/>
              <w:spacing w:before="120" w:after="120"/>
              <w:jc w:val="left"/>
            </w:pPr>
            <w:hyperlink r:id="rId16" w:history="1">
              <w:r w:rsidR="00155DC5" w:rsidRPr="002F6A28">
                <w:rPr>
                  <w:color w:val="0000FF"/>
                  <w:u w:val="single"/>
                </w:rPr>
                <w:t>https://members.wto.org/crnattachments/2019/TBT/EEC/19_4918_00_e.pdf</w:t>
              </w:r>
            </w:hyperlink>
          </w:p>
          <w:p w:rsidR="00053EC4" w:rsidRPr="002F6A28" w:rsidRDefault="00F31E93" w:rsidP="00B16145">
            <w:pPr>
              <w:keepNext/>
              <w:keepLines/>
              <w:spacing w:before="120" w:after="120"/>
              <w:jc w:val="left"/>
            </w:pPr>
            <w:hyperlink r:id="rId17" w:history="1">
              <w:r w:rsidR="00155DC5" w:rsidRPr="002F6A28">
                <w:rPr>
                  <w:color w:val="0000FF"/>
                  <w:u w:val="single"/>
                </w:rPr>
                <w:t>https://members.wto.org/crnattachments/2019/TBT/EEC/19_4918_01_e.pdf</w:t>
              </w:r>
            </w:hyperlink>
            <w:bookmarkEnd w:id="40"/>
          </w:p>
        </w:tc>
      </w:tr>
    </w:tbl>
    <w:p w:rsidR="00EE3A11" w:rsidRPr="002F6A28" w:rsidRDefault="00EE3A11" w:rsidP="002F6A28"/>
    <w:sectPr w:rsidR="00EE3A11" w:rsidRPr="002F6A28" w:rsidSect="00760DB3">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8C9" w:rsidRDefault="00155DC5">
      <w:r>
        <w:separator/>
      </w:r>
    </w:p>
  </w:endnote>
  <w:endnote w:type="continuationSeparator" w:id="0">
    <w:p w:rsidR="009978C9" w:rsidRDefault="0015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55DC5"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55DC5"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55DC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8C9" w:rsidRDefault="00155DC5">
      <w:r>
        <w:separator/>
      </w:r>
    </w:p>
  </w:footnote>
  <w:footnote w:type="continuationSeparator" w:id="0">
    <w:p w:rsidR="009978C9" w:rsidRDefault="00155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55DC5"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155DC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55DC5" w:rsidP="009239F7">
    <w:pPr>
      <w:pStyle w:val="En-tte"/>
      <w:pBdr>
        <w:bottom w:val="single" w:sz="4" w:space="1" w:color="auto"/>
      </w:pBdr>
      <w:tabs>
        <w:tab w:val="clear" w:pos="4513"/>
        <w:tab w:val="clear" w:pos="9027"/>
      </w:tabs>
      <w:jc w:val="center"/>
    </w:pPr>
    <w:bookmarkStart w:id="41" w:name="spsSymbolHeader"/>
    <w:r w:rsidRPr="002F6A28">
      <w:t>G/TBT/N/EU/680</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155DC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E75EC"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BE75EC" w:rsidTr="008612A9">
      <w:trPr>
        <w:trHeight w:val="213"/>
        <w:jc w:val="center"/>
      </w:trPr>
      <w:tc>
        <w:tcPr>
          <w:tcW w:w="3794" w:type="dxa"/>
          <w:vMerge w:val="restart"/>
          <w:shd w:val="clear" w:color="auto" w:fill="FFFFFF"/>
          <w:tcMar>
            <w:left w:w="0" w:type="dxa"/>
            <w:right w:w="0" w:type="dxa"/>
          </w:tcMar>
        </w:tcPr>
        <w:p w:rsidR="00ED54E0" w:rsidRPr="009239F7" w:rsidRDefault="00155DC5"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04480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E75EC"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155DC5" w:rsidP="00B801E9">
          <w:pPr>
            <w:jc w:val="right"/>
            <w:rPr>
              <w:b/>
              <w:szCs w:val="16"/>
            </w:rPr>
          </w:pPr>
          <w:bookmarkStart w:id="43" w:name="bmkSymbols"/>
          <w:r w:rsidRPr="002F6A28">
            <w:rPr>
              <w:b/>
              <w:szCs w:val="16"/>
            </w:rPr>
            <w:t>G/TBT/N/EU/680</w:t>
          </w:r>
          <w:bookmarkEnd w:id="43"/>
        </w:p>
      </w:tc>
    </w:tr>
    <w:tr w:rsidR="00BE75EC"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155DC5" w:rsidP="00B801E9">
          <w:pPr>
            <w:jc w:val="right"/>
            <w:rPr>
              <w:szCs w:val="16"/>
            </w:rPr>
          </w:pPr>
          <w:bookmarkStart w:id="44" w:name="spsDateDistribution"/>
          <w:bookmarkStart w:id="45" w:name="bmkDate"/>
          <w:bookmarkEnd w:id="44"/>
          <w:bookmarkEnd w:id="45"/>
          <w:r>
            <w:rPr>
              <w:szCs w:val="16"/>
            </w:rPr>
            <w:t>9 September 2019</w:t>
          </w:r>
        </w:p>
      </w:tc>
    </w:tr>
    <w:tr w:rsidR="00BE75E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55DC5"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F31E93">
            <w:rPr>
              <w:color w:val="FF0000"/>
              <w:szCs w:val="16"/>
            </w:rPr>
            <w:t>5741</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155DC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BE75E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55DC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155DC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51EDA4A">
      <w:start w:val="1"/>
      <w:numFmt w:val="decimal"/>
      <w:pStyle w:val="SummaryText"/>
      <w:lvlText w:val="%1."/>
      <w:lvlJc w:val="left"/>
      <w:pPr>
        <w:ind w:left="360" w:hanging="360"/>
      </w:pPr>
    </w:lvl>
    <w:lvl w:ilvl="1" w:tplc="D966B374" w:tentative="1">
      <w:start w:val="1"/>
      <w:numFmt w:val="lowerLetter"/>
      <w:lvlText w:val="%2."/>
      <w:lvlJc w:val="left"/>
      <w:pPr>
        <w:ind w:left="1080" w:hanging="360"/>
      </w:pPr>
    </w:lvl>
    <w:lvl w:ilvl="2" w:tplc="E44CFD12" w:tentative="1">
      <w:start w:val="1"/>
      <w:numFmt w:val="lowerRoman"/>
      <w:lvlText w:val="%3."/>
      <w:lvlJc w:val="right"/>
      <w:pPr>
        <w:ind w:left="1800" w:hanging="180"/>
      </w:pPr>
    </w:lvl>
    <w:lvl w:ilvl="3" w:tplc="368ACB76" w:tentative="1">
      <w:start w:val="1"/>
      <w:numFmt w:val="decimal"/>
      <w:lvlText w:val="%4."/>
      <w:lvlJc w:val="left"/>
      <w:pPr>
        <w:ind w:left="2520" w:hanging="360"/>
      </w:pPr>
    </w:lvl>
    <w:lvl w:ilvl="4" w:tplc="02D0534C" w:tentative="1">
      <w:start w:val="1"/>
      <w:numFmt w:val="lowerLetter"/>
      <w:lvlText w:val="%5."/>
      <w:lvlJc w:val="left"/>
      <w:pPr>
        <w:ind w:left="3240" w:hanging="360"/>
      </w:pPr>
    </w:lvl>
    <w:lvl w:ilvl="5" w:tplc="DFA20E3A" w:tentative="1">
      <w:start w:val="1"/>
      <w:numFmt w:val="lowerRoman"/>
      <w:lvlText w:val="%6."/>
      <w:lvlJc w:val="right"/>
      <w:pPr>
        <w:ind w:left="3960" w:hanging="180"/>
      </w:pPr>
    </w:lvl>
    <w:lvl w:ilvl="6" w:tplc="1778C4F6" w:tentative="1">
      <w:start w:val="1"/>
      <w:numFmt w:val="decimal"/>
      <w:lvlText w:val="%7."/>
      <w:lvlJc w:val="left"/>
      <w:pPr>
        <w:ind w:left="4680" w:hanging="360"/>
      </w:pPr>
    </w:lvl>
    <w:lvl w:ilvl="7" w:tplc="9F726602" w:tentative="1">
      <w:start w:val="1"/>
      <w:numFmt w:val="lowerLetter"/>
      <w:lvlText w:val="%8."/>
      <w:lvlJc w:val="left"/>
      <w:pPr>
        <w:ind w:left="5400" w:hanging="360"/>
      </w:pPr>
    </w:lvl>
    <w:lvl w:ilvl="8" w:tplc="B4385FE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3E87984">
      <w:start w:val="1"/>
      <w:numFmt w:val="bullet"/>
      <w:lvlText w:val=""/>
      <w:lvlJc w:val="left"/>
      <w:pPr>
        <w:ind w:left="720" w:hanging="360"/>
      </w:pPr>
      <w:rPr>
        <w:rFonts w:ascii="Symbol" w:hAnsi="Symbol"/>
      </w:rPr>
    </w:lvl>
    <w:lvl w:ilvl="1" w:tplc="21CE62F6">
      <w:start w:val="1"/>
      <w:numFmt w:val="bullet"/>
      <w:lvlText w:val="o"/>
      <w:lvlJc w:val="left"/>
      <w:pPr>
        <w:tabs>
          <w:tab w:val="num" w:pos="1440"/>
        </w:tabs>
        <w:ind w:left="1440" w:hanging="360"/>
      </w:pPr>
      <w:rPr>
        <w:rFonts w:ascii="Courier New" w:hAnsi="Courier New"/>
      </w:rPr>
    </w:lvl>
    <w:lvl w:ilvl="2" w:tplc="E1F4D132">
      <w:start w:val="1"/>
      <w:numFmt w:val="bullet"/>
      <w:lvlText w:val=""/>
      <w:lvlJc w:val="left"/>
      <w:pPr>
        <w:tabs>
          <w:tab w:val="num" w:pos="2160"/>
        </w:tabs>
        <w:ind w:left="2160" w:hanging="360"/>
      </w:pPr>
      <w:rPr>
        <w:rFonts w:ascii="Wingdings" w:hAnsi="Wingdings"/>
      </w:rPr>
    </w:lvl>
    <w:lvl w:ilvl="3" w:tplc="1E9CC1E6">
      <w:start w:val="1"/>
      <w:numFmt w:val="bullet"/>
      <w:lvlText w:val=""/>
      <w:lvlJc w:val="left"/>
      <w:pPr>
        <w:tabs>
          <w:tab w:val="num" w:pos="2880"/>
        </w:tabs>
        <w:ind w:left="2880" w:hanging="360"/>
      </w:pPr>
      <w:rPr>
        <w:rFonts w:ascii="Symbol" w:hAnsi="Symbol"/>
      </w:rPr>
    </w:lvl>
    <w:lvl w:ilvl="4" w:tplc="4C3893C8">
      <w:start w:val="1"/>
      <w:numFmt w:val="bullet"/>
      <w:lvlText w:val="o"/>
      <w:lvlJc w:val="left"/>
      <w:pPr>
        <w:tabs>
          <w:tab w:val="num" w:pos="3600"/>
        </w:tabs>
        <w:ind w:left="3600" w:hanging="360"/>
      </w:pPr>
      <w:rPr>
        <w:rFonts w:ascii="Courier New" w:hAnsi="Courier New"/>
      </w:rPr>
    </w:lvl>
    <w:lvl w:ilvl="5" w:tplc="D77C5C88">
      <w:start w:val="1"/>
      <w:numFmt w:val="bullet"/>
      <w:lvlText w:val=""/>
      <w:lvlJc w:val="left"/>
      <w:pPr>
        <w:tabs>
          <w:tab w:val="num" w:pos="4320"/>
        </w:tabs>
        <w:ind w:left="4320" w:hanging="360"/>
      </w:pPr>
      <w:rPr>
        <w:rFonts w:ascii="Wingdings" w:hAnsi="Wingdings"/>
      </w:rPr>
    </w:lvl>
    <w:lvl w:ilvl="6" w:tplc="5BD0D02A">
      <w:start w:val="1"/>
      <w:numFmt w:val="bullet"/>
      <w:lvlText w:val=""/>
      <w:lvlJc w:val="left"/>
      <w:pPr>
        <w:tabs>
          <w:tab w:val="num" w:pos="5040"/>
        </w:tabs>
        <w:ind w:left="5040" w:hanging="360"/>
      </w:pPr>
      <w:rPr>
        <w:rFonts w:ascii="Symbol" w:hAnsi="Symbol"/>
      </w:rPr>
    </w:lvl>
    <w:lvl w:ilvl="7" w:tplc="6118757C">
      <w:start w:val="1"/>
      <w:numFmt w:val="bullet"/>
      <w:lvlText w:val="o"/>
      <w:lvlJc w:val="left"/>
      <w:pPr>
        <w:tabs>
          <w:tab w:val="num" w:pos="5760"/>
        </w:tabs>
        <w:ind w:left="5760" w:hanging="360"/>
      </w:pPr>
      <w:rPr>
        <w:rFonts w:ascii="Courier New" w:hAnsi="Courier New"/>
      </w:rPr>
    </w:lvl>
    <w:lvl w:ilvl="8" w:tplc="9726F9AC">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48020348">
      <w:start w:val="1"/>
      <w:numFmt w:val="bullet"/>
      <w:lvlText w:val=""/>
      <w:lvlJc w:val="left"/>
      <w:pPr>
        <w:ind w:left="720" w:hanging="360"/>
      </w:pPr>
      <w:rPr>
        <w:rFonts w:ascii="Symbol" w:hAnsi="Symbol"/>
      </w:rPr>
    </w:lvl>
    <w:lvl w:ilvl="1" w:tplc="52C6F35E">
      <w:start w:val="1"/>
      <w:numFmt w:val="bullet"/>
      <w:lvlText w:val="o"/>
      <w:lvlJc w:val="left"/>
      <w:pPr>
        <w:tabs>
          <w:tab w:val="num" w:pos="1440"/>
        </w:tabs>
        <w:ind w:left="1440" w:hanging="360"/>
      </w:pPr>
      <w:rPr>
        <w:rFonts w:ascii="Courier New" w:hAnsi="Courier New"/>
      </w:rPr>
    </w:lvl>
    <w:lvl w:ilvl="2" w:tplc="2326C3EA">
      <w:start w:val="1"/>
      <w:numFmt w:val="bullet"/>
      <w:lvlText w:val=""/>
      <w:lvlJc w:val="left"/>
      <w:pPr>
        <w:tabs>
          <w:tab w:val="num" w:pos="2160"/>
        </w:tabs>
        <w:ind w:left="2160" w:hanging="360"/>
      </w:pPr>
      <w:rPr>
        <w:rFonts w:ascii="Wingdings" w:hAnsi="Wingdings"/>
      </w:rPr>
    </w:lvl>
    <w:lvl w:ilvl="3" w:tplc="7CE4A1EC">
      <w:start w:val="1"/>
      <w:numFmt w:val="bullet"/>
      <w:lvlText w:val=""/>
      <w:lvlJc w:val="left"/>
      <w:pPr>
        <w:tabs>
          <w:tab w:val="num" w:pos="2880"/>
        </w:tabs>
        <w:ind w:left="2880" w:hanging="360"/>
      </w:pPr>
      <w:rPr>
        <w:rFonts w:ascii="Symbol" w:hAnsi="Symbol"/>
      </w:rPr>
    </w:lvl>
    <w:lvl w:ilvl="4" w:tplc="857C474E">
      <w:start w:val="1"/>
      <w:numFmt w:val="bullet"/>
      <w:lvlText w:val="o"/>
      <w:lvlJc w:val="left"/>
      <w:pPr>
        <w:tabs>
          <w:tab w:val="num" w:pos="3600"/>
        </w:tabs>
        <w:ind w:left="3600" w:hanging="360"/>
      </w:pPr>
      <w:rPr>
        <w:rFonts w:ascii="Courier New" w:hAnsi="Courier New"/>
      </w:rPr>
    </w:lvl>
    <w:lvl w:ilvl="5" w:tplc="D27EBF8C">
      <w:start w:val="1"/>
      <w:numFmt w:val="bullet"/>
      <w:lvlText w:val=""/>
      <w:lvlJc w:val="left"/>
      <w:pPr>
        <w:tabs>
          <w:tab w:val="num" w:pos="4320"/>
        </w:tabs>
        <w:ind w:left="4320" w:hanging="360"/>
      </w:pPr>
      <w:rPr>
        <w:rFonts w:ascii="Wingdings" w:hAnsi="Wingdings"/>
      </w:rPr>
    </w:lvl>
    <w:lvl w:ilvl="6" w:tplc="EF96EC84">
      <w:start w:val="1"/>
      <w:numFmt w:val="bullet"/>
      <w:lvlText w:val=""/>
      <w:lvlJc w:val="left"/>
      <w:pPr>
        <w:tabs>
          <w:tab w:val="num" w:pos="5040"/>
        </w:tabs>
        <w:ind w:left="5040" w:hanging="360"/>
      </w:pPr>
      <w:rPr>
        <w:rFonts w:ascii="Symbol" w:hAnsi="Symbol"/>
      </w:rPr>
    </w:lvl>
    <w:lvl w:ilvl="7" w:tplc="4C28F3DE">
      <w:start w:val="1"/>
      <w:numFmt w:val="bullet"/>
      <w:lvlText w:val="o"/>
      <w:lvlJc w:val="left"/>
      <w:pPr>
        <w:tabs>
          <w:tab w:val="num" w:pos="5760"/>
        </w:tabs>
        <w:ind w:left="5760" w:hanging="360"/>
      </w:pPr>
      <w:rPr>
        <w:rFonts w:ascii="Courier New" w:hAnsi="Courier New"/>
      </w:rPr>
    </w:lvl>
    <w:lvl w:ilvl="8" w:tplc="46A0CEE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3EC4"/>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33E0D"/>
    <w:rsid w:val="00155128"/>
    <w:rsid w:val="00155DC5"/>
    <w:rsid w:val="001621F4"/>
    <w:rsid w:val="00182B84"/>
    <w:rsid w:val="0018646B"/>
    <w:rsid w:val="00186B9C"/>
    <w:rsid w:val="001A464A"/>
    <w:rsid w:val="001E291F"/>
    <w:rsid w:val="001E7810"/>
    <w:rsid w:val="00204CC3"/>
    <w:rsid w:val="00233408"/>
    <w:rsid w:val="00267723"/>
    <w:rsid w:val="00270637"/>
    <w:rsid w:val="0027067B"/>
    <w:rsid w:val="002D21E3"/>
    <w:rsid w:val="002E174F"/>
    <w:rsid w:val="002F6A28"/>
    <w:rsid w:val="00303D9D"/>
    <w:rsid w:val="00304AAE"/>
    <w:rsid w:val="003124EC"/>
    <w:rsid w:val="0035174B"/>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344A6"/>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0FC0"/>
    <w:rsid w:val="00832EE1"/>
    <w:rsid w:val="008378EF"/>
    <w:rsid w:val="00840C2B"/>
    <w:rsid w:val="00860955"/>
    <w:rsid w:val="008612A9"/>
    <w:rsid w:val="00863177"/>
    <w:rsid w:val="008739FD"/>
    <w:rsid w:val="008848E9"/>
    <w:rsid w:val="00891ADD"/>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8637C"/>
    <w:rsid w:val="00990E7D"/>
    <w:rsid w:val="009978C9"/>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E75EC"/>
    <w:rsid w:val="00BF59EC"/>
    <w:rsid w:val="00C046C8"/>
    <w:rsid w:val="00C11EAC"/>
    <w:rsid w:val="00C12F46"/>
    <w:rsid w:val="00C16D5D"/>
    <w:rsid w:val="00C268F4"/>
    <w:rsid w:val="00C305D7"/>
    <w:rsid w:val="00C30F2A"/>
    <w:rsid w:val="00C3241C"/>
    <w:rsid w:val="00C379C8"/>
    <w:rsid w:val="00C40A6A"/>
    <w:rsid w:val="00C40E47"/>
    <w:rsid w:val="00C43456"/>
    <w:rsid w:val="00C46583"/>
    <w:rsid w:val="00C47FCA"/>
    <w:rsid w:val="00C65C0C"/>
    <w:rsid w:val="00C76F7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1AE3"/>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1E93"/>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A837"/>
  <w15:docId w15:val="{46842FEB-D28E-4D3C-BFAB-7579FD5E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Mentionnonrsolue1">
    <w:name w:val="Mention non résolue1"/>
    <w:basedOn w:val="Policepardfaut"/>
    <w:uiPriority w:val="99"/>
    <w:rsid w:val="00C76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qid=1423064258789&amp;uri=CELEX:32006R1907" TargetMode="External"/><Relationship Id="rId13" Type="http://schemas.openxmlformats.org/officeDocument/2006/relationships/hyperlink" Target="https://eur-lex.europa.eu/legal-content/EN/TXT/PDF/?uri=CELEX:32018R1881&amp;from=E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c.europa.eu/growth/tools-databases/tbt/en/" TargetMode="External"/><Relationship Id="rId12" Type="http://schemas.openxmlformats.org/officeDocument/2006/relationships/hyperlink" Target="https://eur-lex.europa.eu/legal-content/EN/TXT/?uri=CELEX%3A32017R0542" TargetMode="External"/><Relationship Id="rId17" Type="http://schemas.openxmlformats.org/officeDocument/2006/relationships/hyperlink" Target="https://members.wto.org/crnattachments/2019/TBT/EEC/19_4918_01_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mbers.wto.org/crnattachments/2019/TBT/EEC/19_4918_00_e.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ece.org/trans/danger/publi/ghs/ghs_rev07/07files_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c.europa.eu/growth/tools-databases/tbt/en/" TargetMode="External"/><Relationship Id="rId23" Type="http://schemas.openxmlformats.org/officeDocument/2006/relationships/footer" Target="footer3.xml"/><Relationship Id="rId10" Type="http://schemas.openxmlformats.org/officeDocument/2006/relationships/hyperlink" Target="https://www.unece.org/trans/danger/publi/ghs/ghs_rev06/06files_e.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ata.europa.eu/eli/reg/2017/542/oj" TargetMode="External"/><Relationship Id="rId14" Type="http://schemas.openxmlformats.org/officeDocument/2006/relationships/hyperlink" Target="mailto:grow-eu-tbt@ec.europa.e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948</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14</cp:revision>
  <dcterms:created xsi:type="dcterms:W3CDTF">2019-09-09T08:18:00Z</dcterms:created>
  <dcterms:modified xsi:type="dcterms:W3CDTF">2019-09-09T12:37:00Z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