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CB4D54" w:rsidP="002F6A28">
      <w:pPr>
        <w:pStyle w:val="Titre"/>
        <w:rPr>
          <w:caps w:val="0"/>
          <w:kern w:val="0"/>
        </w:rPr>
      </w:pPr>
      <w:r w:rsidRPr="002F6A28">
        <w:rPr>
          <w:caps w:val="0"/>
          <w:kern w:val="0"/>
        </w:rPr>
        <w:t>NOTIFICATION</w:t>
      </w:r>
    </w:p>
    <w:p w:rsidR="009239F7" w:rsidRPr="002F6A28" w:rsidRDefault="00CB4D54"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5190" w:rsidTr="0069259F">
        <w:tc>
          <w:tcPr>
            <w:tcW w:w="713" w:type="dxa"/>
            <w:tcBorders>
              <w:bottom w:val="single" w:sz="6" w:space="0" w:color="auto"/>
            </w:tcBorders>
            <w:shd w:val="clear" w:color="auto" w:fill="auto"/>
          </w:tcPr>
          <w:p w:rsidR="00F85C99" w:rsidRPr="002F6A28" w:rsidRDefault="00CB4D54"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CB4D5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rsidR="00F85C99" w:rsidRPr="002F6A28" w:rsidRDefault="00CB4D5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5190" w:rsidRPr="004F0F40" w:rsidTr="0069259F">
        <w:tc>
          <w:tcPr>
            <w:tcW w:w="713" w:type="dxa"/>
            <w:tcBorders>
              <w:top w:val="single" w:sz="6" w:space="0" w:color="auto"/>
              <w:bottom w:val="single" w:sz="6" w:space="0" w:color="auto"/>
            </w:tcBorders>
            <w:shd w:val="clear" w:color="auto" w:fill="auto"/>
          </w:tcPr>
          <w:p w:rsidR="00F85C99" w:rsidRPr="002F6A28" w:rsidRDefault="00CB4D5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CB4D5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rsidR="00F85C99" w:rsidRPr="002F6A28" w:rsidRDefault="00CB4D5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D82431" w:rsidRPr="00D87FE8" w:rsidRDefault="00CB4D54" w:rsidP="00AA646C">
            <w:pPr>
              <w:spacing w:after="120"/>
              <w:jc w:val="left"/>
              <w:rPr>
                <w:lang w:val="fr-CH"/>
              </w:rPr>
            </w:pPr>
            <w:proofErr w:type="spellStart"/>
            <w:r w:rsidRPr="00D87FE8">
              <w:rPr>
                <w:lang w:val="fr-CH"/>
              </w:rPr>
              <w:t>European</w:t>
            </w:r>
            <w:proofErr w:type="spellEnd"/>
            <w:r w:rsidRPr="00D87FE8">
              <w:rPr>
                <w:lang w:val="fr-CH"/>
              </w:rPr>
              <w:t xml:space="preserve"> Commission</w:t>
            </w:r>
            <w:r w:rsidRPr="00D87FE8">
              <w:rPr>
                <w:lang w:val="fr-CH"/>
              </w:rPr>
              <w:br/>
              <w:t>EU-</w:t>
            </w:r>
            <w:proofErr w:type="spellStart"/>
            <w:r w:rsidRPr="00D87FE8">
              <w:rPr>
                <w:lang w:val="fr-CH"/>
              </w:rPr>
              <w:t>TBT</w:t>
            </w:r>
            <w:proofErr w:type="spellEnd"/>
            <w:r w:rsidRPr="00D87FE8">
              <w:rPr>
                <w:lang w:val="fr-CH"/>
              </w:rPr>
              <w:t xml:space="preserve"> </w:t>
            </w:r>
            <w:proofErr w:type="spellStart"/>
            <w:r w:rsidRPr="00D87FE8">
              <w:rPr>
                <w:lang w:val="fr-CH"/>
              </w:rPr>
              <w:t>Enquiry</w:t>
            </w:r>
            <w:proofErr w:type="spellEnd"/>
            <w:r w:rsidRPr="00D87FE8">
              <w:rPr>
                <w:lang w:val="fr-CH"/>
              </w:rPr>
              <w:t xml:space="preserve"> Point</w:t>
            </w:r>
            <w:r w:rsidRPr="00D87FE8">
              <w:rPr>
                <w:lang w:val="fr-CH"/>
              </w:rPr>
              <w:br/>
              <w:t>Fax: +(32) 2 299 80 43</w:t>
            </w:r>
            <w:r w:rsidRPr="00D87FE8">
              <w:rPr>
                <w:lang w:val="fr-CH"/>
              </w:rPr>
              <w:br/>
              <w:t xml:space="preserve">E-mail: </w:t>
            </w:r>
            <w:r w:rsidR="004F0F40">
              <w:fldChar w:fldCharType="begin"/>
            </w:r>
            <w:r w:rsidR="004F0F40" w:rsidRPr="004F0F40">
              <w:rPr>
                <w:lang w:val="fr-FR"/>
              </w:rPr>
              <w:instrText xml:space="preserve"> HYPERLINK "m</w:instrText>
            </w:r>
            <w:r w:rsidR="004F0F40" w:rsidRPr="004F0F40">
              <w:rPr>
                <w:lang w:val="fr-FR"/>
              </w:rPr>
              <w:instrText xml:space="preserve">ailto:grow-eu-tbt@ec.europa.eu" </w:instrText>
            </w:r>
            <w:r w:rsidR="004F0F40">
              <w:fldChar w:fldCharType="separate"/>
            </w:r>
            <w:r w:rsidRPr="00D87FE8">
              <w:rPr>
                <w:color w:val="0000FF"/>
                <w:u w:val="single"/>
                <w:lang w:val="fr-CH"/>
              </w:rPr>
              <w:t>grow-eu-tbt@ec.europa.eu</w:t>
            </w:r>
            <w:r w:rsidR="004F0F40">
              <w:rPr>
                <w:color w:val="0000FF"/>
                <w:u w:val="single"/>
                <w:lang w:val="fr-CH"/>
              </w:rPr>
              <w:fldChar w:fldCharType="end"/>
            </w:r>
            <w:r w:rsidRPr="00D87FE8">
              <w:rPr>
                <w:lang w:val="fr-CH"/>
              </w:rPr>
              <w:br/>
            </w:r>
            <w:proofErr w:type="spellStart"/>
            <w:r w:rsidRPr="00D87FE8">
              <w:rPr>
                <w:lang w:val="fr-CH"/>
              </w:rPr>
              <w:t>Website</w:t>
            </w:r>
            <w:proofErr w:type="spellEnd"/>
            <w:r w:rsidRPr="00D87FE8">
              <w:rPr>
                <w:lang w:val="fr-CH"/>
              </w:rPr>
              <w:t xml:space="preserve">: </w:t>
            </w:r>
            <w:r w:rsidR="004F0F40">
              <w:fldChar w:fldCharType="begin"/>
            </w:r>
            <w:r w:rsidR="004F0F40" w:rsidRPr="004F0F40">
              <w:rPr>
                <w:lang w:val="fr-FR"/>
              </w:rPr>
              <w:instrText xml:space="preserve"> HYPERLINK "http://ec.europa.eu/growth/tools-databases/tbt/en/" </w:instrText>
            </w:r>
            <w:r w:rsidR="004F0F40">
              <w:fldChar w:fldCharType="separate"/>
            </w:r>
            <w:r w:rsidRPr="00D87FE8">
              <w:rPr>
                <w:color w:val="0000FF"/>
                <w:u w:val="single"/>
                <w:lang w:val="fr-CH"/>
              </w:rPr>
              <w:t>http://ec.europa.eu/growth/tools-databases/tbt/en/</w:t>
            </w:r>
            <w:r w:rsidR="004F0F40">
              <w:rPr>
                <w:color w:val="0000FF"/>
                <w:u w:val="single"/>
                <w:lang w:val="fr-CH"/>
              </w:rPr>
              <w:fldChar w:fldCharType="end"/>
            </w:r>
            <w:bookmarkEnd w:id="7"/>
          </w:p>
        </w:tc>
      </w:tr>
      <w:tr w:rsidR="000B5190" w:rsidTr="0069259F">
        <w:tc>
          <w:tcPr>
            <w:tcW w:w="713" w:type="dxa"/>
            <w:tcBorders>
              <w:top w:val="single" w:sz="6" w:space="0" w:color="auto"/>
              <w:bottom w:val="single" w:sz="6" w:space="0" w:color="auto"/>
            </w:tcBorders>
            <w:shd w:val="clear" w:color="auto" w:fill="auto"/>
          </w:tcPr>
          <w:p w:rsidR="00F85C99" w:rsidRPr="002F6A28" w:rsidRDefault="00CB4D5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CB4D5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B5190" w:rsidTr="0069259F">
        <w:tc>
          <w:tcPr>
            <w:tcW w:w="713" w:type="dxa"/>
            <w:tcBorders>
              <w:top w:val="single" w:sz="6" w:space="0" w:color="auto"/>
              <w:bottom w:val="single" w:sz="6" w:space="0" w:color="auto"/>
            </w:tcBorders>
            <w:shd w:val="clear" w:color="auto" w:fill="auto"/>
          </w:tcPr>
          <w:p w:rsidR="00F85C99" w:rsidRPr="002F6A28" w:rsidRDefault="00CB4D5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CB4D5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and electronic equipment</w:t>
            </w:r>
            <w:bookmarkStart w:id="20" w:name="sps3a"/>
            <w:bookmarkEnd w:id="20"/>
          </w:p>
        </w:tc>
      </w:tr>
      <w:tr w:rsidR="000B5190" w:rsidTr="0069259F">
        <w:tc>
          <w:tcPr>
            <w:tcW w:w="713" w:type="dxa"/>
            <w:tcBorders>
              <w:top w:val="single" w:sz="6" w:space="0" w:color="auto"/>
              <w:bottom w:val="single" w:sz="6" w:space="0" w:color="auto"/>
            </w:tcBorders>
            <w:shd w:val="clear" w:color="auto" w:fill="auto"/>
          </w:tcPr>
          <w:p w:rsidR="00F85C99" w:rsidRPr="002F6A28" w:rsidRDefault="00CB4D5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B4D5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Delegated Directive amending, for the purposes of adapting to scientific and technical progress, Annex III to Directive 2011/65/EU of the European Parliament and of the Council as regards an exemption for the use of cadmium and lead in plastic profiles in electrical and electronic windows and doors containing recovered polyvinyl chloride (7</w:t>
            </w:r>
            <w:r>
              <w:t> </w:t>
            </w:r>
            <w:r w:rsidR="00EE3A11" w:rsidRPr="00C379C8">
              <w:t>pages + Annex 2 pages, in English)</w:t>
            </w:r>
            <w:bookmarkStart w:id="22" w:name="sps5a"/>
            <w:bookmarkStart w:id="23" w:name="sps5c"/>
            <w:bookmarkStart w:id="24" w:name="sps5b"/>
            <w:bookmarkEnd w:id="22"/>
            <w:bookmarkEnd w:id="23"/>
            <w:bookmarkEnd w:id="24"/>
          </w:p>
        </w:tc>
      </w:tr>
      <w:tr w:rsidR="000B5190" w:rsidTr="0069259F">
        <w:tc>
          <w:tcPr>
            <w:tcW w:w="713" w:type="dxa"/>
            <w:tcBorders>
              <w:top w:val="single" w:sz="6" w:space="0" w:color="auto"/>
              <w:bottom w:val="single" w:sz="6" w:space="0" w:color="auto"/>
            </w:tcBorders>
            <w:shd w:val="clear" w:color="auto" w:fill="auto"/>
          </w:tcPr>
          <w:p w:rsidR="00F85C99" w:rsidRPr="002F6A28" w:rsidRDefault="00CB4D5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B4D5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Delegated Directive concerns an application specific and temporary exemption from the RoHS 2 (Directive 2011/65/EU) substance restrictions.</w:t>
            </w:r>
          </w:p>
        </w:tc>
      </w:tr>
      <w:tr w:rsidR="000B5190" w:rsidTr="0069259F">
        <w:tc>
          <w:tcPr>
            <w:tcW w:w="713" w:type="dxa"/>
            <w:tcBorders>
              <w:top w:val="single" w:sz="6" w:space="0" w:color="auto"/>
              <w:bottom w:val="single" w:sz="6" w:space="0" w:color="auto"/>
            </w:tcBorders>
            <w:shd w:val="clear" w:color="auto" w:fill="auto"/>
          </w:tcPr>
          <w:p w:rsidR="00F85C99" w:rsidRPr="002F6A28" w:rsidRDefault="00CB4D5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CB4D5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Adaptation of existing legislation to scientific and technical progress, granting manufacturers adequate transition time for compliance.</w:t>
            </w:r>
            <w:bookmarkStart w:id="27" w:name="sps7f"/>
            <w:bookmarkEnd w:id="27"/>
          </w:p>
        </w:tc>
      </w:tr>
      <w:tr w:rsidR="000B5190" w:rsidTr="0069259F">
        <w:tc>
          <w:tcPr>
            <w:tcW w:w="713" w:type="dxa"/>
            <w:tcBorders>
              <w:top w:val="single" w:sz="6" w:space="0" w:color="auto"/>
              <w:bottom w:val="single" w:sz="6" w:space="0" w:color="auto"/>
            </w:tcBorders>
            <w:shd w:val="clear" w:color="auto" w:fill="auto"/>
          </w:tcPr>
          <w:p w:rsidR="00F85C99" w:rsidRPr="002F6A28" w:rsidRDefault="00CB4D5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CB4D5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D82431" w:rsidRPr="002F6A28" w:rsidRDefault="00CB4D54" w:rsidP="009E75ED">
            <w:pPr>
              <w:numPr>
                <w:ilvl w:val="0"/>
                <w:numId w:val="16"/>
              </w:numPr>
              <w:spacing w:before="120" w:after="120"/>
              <w:jc w:val="left"/>
              <w:rPr>
                <w:bCs/>
              </w:rPr>
            </w:pPr>
            <w:r w:rsidRPr="002F6A28">
              <w:rPr>
                <w:bCs/>
              </w:rPr>
              <w:t>Scientific background studies justifying the specific exemption are available (</w:t>
            </w:r>
            <w:hyperlink r:id="rId7" w:history="1">
              <w:hyperlink r:id="rId8" w:history="1">
                <w:r w:rsidRPr="002F6A28">
                  <w:rPr>
                    <w:bCs/>
                    <w:color w:val="0000FF"/>
                    <w:u w:val="single"/>
                  </w:rPr>
                  <w:t>https://publications.europa.eu/en/publication-detail/-/publication/e8c8a008-3e99-11e7-a08e-01aa75ed71a1</w:t>
                </w:r>
              </w:hyperlink>
            </w:hyperlink>
            <w:r w:rsidRPr="002F6A28">
              <w:rPr>
                <w:bCs/>
              </w:rPr>
              <w:t>).</w:t>
            </w:r>
          </w:p>
          <w:p w:rsidR="00D82431" w:rsidRPr="002F6A28" w:rsidRDefault="00CB4D54" w:rsidP="009E75ED">
            <w:pPr>
              <w:numPr>
                <w:ilvl w:val="0"/>
                <w:numId w:val="16"/>
              </w:numPr>
              <w:spacing w:before="120" w:after="120"/>
              <w:jc w:val="left"/>
              <w:rPr>
                <w:bCs/>
              </w:rPr>
            </w:pPr>
            <w:r w:rsidRPr="002F6A28">
              <w:rPr>
                <w:bCs/>
              </w:rPr>
              <w:t>Directive 2011/65/EU of the European Parliament and of the Council of 8 June</w:t>
            </w:r>
            <w:r>
              <w:rPr>
                <w:bCs/>
              </w:rPr>
              <w:t> </w:t>
            </w:r>
            <w:r w:rsidRPr="002F6A28">
              <w:rPr>
                <w:bCs/>
              </w:rPr>
              <w:t xml:space="preserve">2011 on the restriction of the use of certain hazardous substances in electrical and electronic equipment: </w:t>
            </w:r>
            <w:hyperlink r:id="rId9" w:history="1">
              <w:hyperlink r:id="rId10" w:history="1">
                <w:r w:rsidRPr="002F6A28">
                  <w:rPr>
                    <w:bCs/>
                    <w:color w:val="0000FF"/>
                    <w:u w:val="single"/>
                  </w:rPr>
                  <w:t>http://eur-lex.europa.eu/legal-content/EN/TXT/?qid=1438768100804&amp;uri=CELEX:32011L0065</w:t>
                </w:r>
              </w:hyperlink>
            </w:hyperlink>
          </w:p>
        </w:tc>
      </w:tr>
      <w:tr w:rsidR="000B5190" w:rsidTr="00AE6CC8">
        <w:trPr>
          <w:cantSplit/>
        </w:trPr>
        <w:tc>
          <w:tcPr>
            <w:tcW w:w="713" w:type="dxa"/>
            <w:tcBorders>
              <w:top w:val="single" w:sz="6" w:space="0" w:color="auto"/>
              <w:bottom w:val="single" w:sz="6" w:space="0" w:color="auto"/>
            </w:tcBorders>
            <w:shd w:val="clear" w:color="auto" w:fill="auto"/>
          </w:tcPr>
          <w:p w:rsidR="00EE3A11" w:rsidRPr="002F6A28" w:rsidRDefault="00CB4D5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CB4D5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November 2019</w:t>
            </w:r>
            <w:bookmarkEnd w:id="31"/>
          </w:p>
          <w:p w:rsidR="00EE3A11" w:rsidRPr="002F6A28" w:rsidRDefault="00CB4D5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20 days from publication in the Official Journal of the EU (about three months after adoption approximately)</w:t>
            </w:r>
            <w:bookmarkEnd w:id="34"/>
          </w:p>
        </w:tc>
      </w:tr>
      <w:tr w:rsidR="000B5190" w:rsidTr="0069259F">
        <w:tc>
          <w:tcPr>
            <w:tcW w:w="713" w:type="dxa"/>
            <w:tcBorders>
              <w:top w:val="single" w:sz="6" w:space="0" w:color="auto"/>
              <w:bottom w:val="single" w:sz="6" w:space="0" w:color="auto"/>
            </w:tcBorders>
            <w:shd w:val="clear" w:color="auto" w:fill="auto"/>
          </w:tcPr>
          <w:p w:rsidR="00F85C99" w:rsidRPr="002F6A28" w:rsidRDefault="00CB4D5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B4D54"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0B5190" w:rsidTr="0069259F">
        <w:tc>
          <w:tcPr>
            <w:tcW w:w="713" w:type="dxa"/>
            <w:tcBorders>
              <w:top w:val="single" w:sz="6" w:space="0" w:color="auto"/>
            </w:tcBorders>
            <w:shd w:val="clear" w:color="auto" w:fill="auto"/>
          </w:tcPr>
          <w:p w:rsidR="00F85C99" w:rsidRPr="002F6A28" w:rsidRDefault="00CB4D5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CB4D5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CB4D54" w:rsidRPr="00CB4D54" w:rsidRDefault="00CB4D54" w:rsidP="00B16145">
            <w:pPr>
              <w:keepNext/>
              <w:keepLines/>
              <w:spacing w:before="120" w:after="120"/>
              <w:jc w:val="left"/>
              <w:rPr>
                <w:color w:val="0000FF"/>
                <w:u w:val="single"/>
                <w:lang w:val="fr-FR"/>
              </w:rPr>
            </w:pPr>
            <w:proofErr w:type="spellStart"/>
            <w:r w:rsidRPr="00CB4D54">
              <w:rPr>
                <w:lang w:val="fr-FR"/>
              </w:rPr>
              <w:t>European</w:t>
            </w:r>
            <w:proofErr w:type="spellEnd"/>
            <w:r w:rsidRPr="00CB4D54">
              <w:rPr>
                <w:lang w:val="fr-FR"/>
              </w:rPr>
              <w:t xml:space="preserve"> Commission</w:t>
            </w:r>
            <w:r w:rsidRPr="00CB4D54">
              <w:rPr>
                <w:lang w:val="fr-FR"/>
              </w:rPr>
              <w:br/>
              <w:t>EU-</w:t>
            </w:r>
            <w:proofErr w:type="spellStart"/>
            <w:r w:rsidRPr="00CB4D54">
              <w:rPr>
                <w:lang w:val="fr-FR"/>
              </w:rPr>
              <w:t>TBT</w:t>
            </w:r>
            <w:proofErr w:type="spellEnd"/>
            <w:r w:rsidRPr="00CB4D54">
              <w:rPr>
                <w:lang w:val="fr-FR"/>
              </w:rPr>
              <w:t xml:space="preserve"> </w:t>
            </w:r>
            <w:proofErr w:type="spellStart"/>
            <w:r w:rsidRPr="00CB4D54">
              <w:rPr>
                <w:lang w:val="fr-FR"/>
              </w:rPr>
              <w:t>Enquiry</w:t>
            </w:r>
            <w:proofErr w:type="spellEnd"/>
            <w:r w:rsidRPr="00CB4D54">
              <w:rPr>
                <w:lang w:val="fr-FR"/>
              </w:rPr>
              <w:t xml:space="preserve"> Point</w:t>
            </w:r>
            <w:r w:rsidRPr="00CB4D54">
              <w:rPr>
                <w:lang w:val="fr-FR"/>
              </w:rPr>
              <w:br/>
              <w:t>Fax: + (32) 2 299 80 43</w:t>
            </w:r>
            <w:r w:rsidRPr="00CB4D54">
              <w:rPr>
                <w:lang w:val="fr-FR"/>
              </w:rPr>
              <w:br/>
              <w:t xml:space="preserve">E-mail: </w:t>
            </w:r>
            <w:hyperlink r:id="rId11" w:history="1">
              <w:r w:rsidRPr="00CB4D54">
                <w:rPr>
                  <w:color w:val="0000FF"/>
                  <w:u w:val="single"/>
                  <w:lang w:val="fr-FR"/>
                </w:rPr>
                <w:t>grow-eu-tbt@ec.europa.eu</w:t>
              </w:r>
            </w:hyperlink>
          </w:p>
          <w:p w:rsidR="00CB4D54" w:rsidRDefault="00CB4D54" w:rsidP="00B16145">
            <w:pPr>
              <w:keepNext/>
              <w:keepLines/>
              <w:spacing w:before="120" w:after="120"/>
              <w:jc w:val="left"/>
            </w:pPr>
            <w:r w:rsidRPr="002F6A28">
              <w:t xml:space="preserve">The text is available on the EU-TBT Website: </w:t>
            </w:r>
          </w:p>
          <w:p w:rsidR="00D82431" w:rsidRPr="002F6A28" w:rsidRDefault="00CB4D54" w:rsidP="00B16145">
            <w:pPr>
              <w:keepNext/>
              <w:keepLines/>
              <w:spacing w:before="120" w:after="120"/>
              <w:jc w:val="left"/>
            </w:pPr>
            <w:hyperlink r:id="rId12" w:history="1">
              <w:r w:rsidRPr="002F6A28">
                <w:rPr>
                  <w:color w:val="0000FF"/>
                  <w:u w:val="single"/>
                </w:rPr>
                <w:t>http://ec.europa.eu/growth/tools-databases/tbt/en/</w:t>
              </w:r>
            </w:hyperlink>
          </w:p>
          <w:p w:rsidR="00D82431" w:rsidRPr="002F6A28" w:rsidRDefault="004F0F40" w:rsidP="00B16145">
            <w:pPr>
              <w:keepNext/>
              <w:keepLines/>
              <w:spacing w:before="120" w:after="120"/>
              <w:jc w:val="left"/>
            </w:pPr>
            <w:hyperlink r:id="rId13" w:history="1">
              <w:r w:rsidR="00CB4D54" w:rsidRPr="002F6A28">
                <w:rPr>
                  <w:color w:val="0000FF"/>
                  <w:u w:val="single"/>
                </w:rPr>
                <w:t>https://members.wto.org/crnattachments/2019/TBT/EEC/19_4881_00_e.pdf</w:t>
              </w:r>
            </w:hyperlink>
            <w:r w:rsidR="00CB4D54" w:rsidRPr="002F6A28">
              <w:br/>
            </w:r>
            <w:hyperlink r:id="rId14" w:history="1">
              <w:r w:rsidR="00CB4D54" w:rsidRPr="002F6A28">
                <w:rPr>
                  <w:color w:val="0000FF"/>
                  <w:u w:val="single"/>
                </w:rPr>
                <w:t>https://members.wto.org/crnattachments/2019/TBT/EEC/19_4881_01_e.pdf</w:t>
              </w:r>
            </w:hyperlink>
            <w:bookmarkEnd w:id="40"/>
          </w:p>
        </w:tc>
      </w:tr>
    </w:tbl>
    <w:p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520" w:rsidRDefault="00CB4D54">
      <w:r>
        <w:separator/>
      </w:r>
    </w:p>
  </w:endnote>
  <w:endnote w:type="continuationSeparator" w:id="0">
    <w:p w:rsidR="00735520" w:rsidRDefault="00CB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CB4D5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CB4D5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CB4D5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520" w:rsidRDefault="00CB4D54">
      <w:r>
        <w:separator/>
      </w:r>
    </w:p>
  </w:footnote>
  <w:footnote w:type="continuationSeparator" w:id="0">
    <w:p w:rsidR="00735520" w:rsidRDefault="00CB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CB4D54" w:rsidP="009239F7">
    <w:pPr>
      <w:pStyle w:val="En-tte"/>
      <w:pBdr>
        <w:bottom w:val="single" w:sz="4" w:space="1" w:color="auto"/>
      </w:pBdr>
      <w:tabs>
        <w:tab w:val="clear" w:pos="4513"/>
        <w:tab w:val="clear" w:pos="9027"/>
      </w:tabs>
      <w:jc w:val="center"/>
    </w:pPr>
    <w:r w:rsidRPr="002F6A28">
      <w:t>tbtSymbol</w:t>
    </w:r>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CB4D5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CB4D54" w:rsidP="009239F7">
    <w:pPr>
      <w:pStyle w:val="En-tte"/>
      <w:pBdr>
        <w:bottom w:val="single" w:sz="4" w:space="1" w:color="auto"/>
      </w:pBdr>
      <w:tabs>
        <w:tab w:val="clear" w:pos="4513"/>
        <w:tab w:val="clear" w:pos="9027"/>
      </w:tabs>
      <w:jc w:val="center"/>
    </w:pPr>
    <w:bookmarkStart w:id="41" w:name="spsSymbolHeader"/>
    <w:r w:rsidRPr="002F6A28">
      <w:t>G/TBT/N/EU/679</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CB4D5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5190"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0B5190" w:rsidTr="008612A9">
      <w:trPr>
        <w:trHeight w:val="213"/>
        <w:jc w:val="center"/>
      </w:trPr>
      <w:tc>
        <w:tcPr>
          <w:tcW w:w="3794" w:type="dxa"/>
          <w:vMerge w:val="restart"/>
          <w:shd w:val="clear" w:color="auto" w:fill="FFFFFF"/>
          <w:tcMar>
            <w:left w:w="0" w:type="dxa"/>
            <w:right w:w="0" w:type="dxa"/>
          </w:tcMar>
        </w:tcPr>
        <w:p w:rsidR="00ED54E0" w:rsidRPr="009239F7" w:rsidRDefault="00CB4D54"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99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0B5190"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CB4D54" w:rsidP="00B801E9">
          <w:pPr>
            <w:jc w:val="right"/>
            <w:rPr>
              <w:b/>
              <w:szCs w:val="16"/>
            </w:rPr>
          </w:pPr>
          <w:bookmarkStart w:id="43" w:name="bmkSymbols"/>
          <w:r w:rsidRPr="002F6A28">
            <w:rPr>
              <w:b/>
              <w:szCs w:val="16"/>
            </w:rPr>
            <w:t>G/TBT/N/EU/679</w:t>
          </w:r>
          <w:bookmarkEnd w:id="43"/>
        </w:p>
      </w:tc>
    </w:tr>
    <w:tr w:rsidR="000B5190"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CB4D54" w:rsidP="00B801E9">
          <w:pPr>
            <w:jc w:val="right"/>
            <w:rPr>
              <w:szCs w:val="16"/>
            </w:rPr>
          </w:pPr>
          <w:bookmarkStart w:id="44" w:name="spsDateDistribution"/>
          <w:bookmarkStart w:id="45" w:name="bmkDate"/>
          <w:bookmarkEnd w:id="44"/>
          <w:bookmarkEnd w:id="45"/>
          <w:r>
            <w:rPr>
              <w:szCs w:val="16"/>
            </w:rPr>
            <w:t>4 September 2019</w:t>
          </w:r>
        </w:p>
      </w:tc>
    </w:tr>
    <w:tr w:rsidR="000B5190"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B4D54"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4F0F40">
            <w:rPr>
              <w:color w:val="FF0000"/>
              <w:szCs w:val="16"/>
            </w:rPr>
            <w:t>5686</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CB4D54"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0B5190"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CB4D54"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CB4D54"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7C9BD4">
      <w:start w:val="1"/>
      <w:numFmt w:val="decimal"/>
      <w:pStyle w:val="SummaryText"/>
      <w:lvlText w:val="%1."/>
      <w:lvlJc w:val="left"/>
      <w:pPr>
        <w:ind w:left="360" w:hanging="360"/>
      </w:pPr>
    </w:lvl>
    <w:lvl w:ilvl="1" w:tplc="B7142560" w:tentative="1">
      <w:start w:val="1"/>
      <w:numFmt w:val="lowerLetter"/>
      <w:lvlText w:val="%2."/>
      <w:lvlJc w:val="left"/>
      <w:pPr>
        <w:ind w:left="1080" w:hanging="360"/>
      </w:pPr>
    </w:lvl>
    <w:lvl w:ilvl="2" w:tplc="4EF2E94A" w:tentative="1">
      <w:start w:val="1"/>
      <w:numFmt w:val="lowerRoman"/>
      <w:lvlText w:val="%3."/>
      <w:lvlJc w:val="right"/>
      <w:pPr>
        <w:ind w:left="1800" w:hanging="180"/>
      </w:pPr>
    </w:lvl>
    <w:lvl w:ilvl="3" w:tplc="450AE562" w:tentative="1">
      <w:start w:val="1"/>
      <w:numFmt w:val="decimal"/>
      <w:lvlText w:val="%4."/>
      <w:lvlJc w:val="left"/>
      <w:pPr>
        <w:ind w:left="2520" w:hanging="360"/>
      </w:pPr>
    </w:lvl>
    <w:lvl w:ilvl="4" w:tplc="9C588734" w:tentative="1">
      <w:start w:val="1"/>
      <w:numFmt w:val="lowerLetter"/>
      <w:lvlText w:val="%5."/>
      <w:lvlJc w:val="left"/>
      <w:pPr>
        <w:ind w:left="3240" w:hanging="360"/>
      </w:pPr>
    </w:lvl>
    <w:lvl w:ilvl="5" w:tplc="43CEB960" w:tentative="1">
      <w:start w:val="1"/>
      <w:numFmt w:val="lowerRoman"/>
      <w:lvlText w:val="%6."/>
      <w:lvlJc w:val="right"/>
      <w:pPr>
        <w:ind w:left="3960" w:hanging="180"/>
      </w:pPr>
    </w:lvl>
    <w:lvl w:ilvl="6" w:tplc="3FEA88C8" w:tentative="1">
      <w:start w:val="1"/>
      <w:numFmt w:val="decimal"/>
      <w:lvlText w:val="%7."/>
      <w:lvlJc w:val="left"/>
      <w:pPr>
        <w:ind w:left="4680" w:hanging="360"/>
      </w:pPr>
    </w:lvl>
    <w:lvl w:ilvl="7" w:tplc="056A10EA" w:tentative="1">
      <w:start w:val="1"/>
      <w:numFmt w:val="lowerLetter"/>
      <w:lvlText w:val="%8."/>
      <w:lvlJc w:val="left"/>
      <w:pPr>
        <w:ind w:left="5400" w:hanging="360"/>
      </w:pPr>
    </w:lvl>
    <w:lvl w:ilvl="8" w:tplc="326CA3B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EEEAB28">
      <w:start w:val="1"/>
      <w:numFmt w:val="bullet"/>
      <w:lvlText w:val=""/>
      <w:lvlJc w:val="left"/>
      <w:pPr>
        <w:ind w:left="720" w:hanging="360"/>
      </w:pPr>
      <w:rPr>
        <w:rFonts w:ascii="Symbol" w:hAnsi="Symbol"/>
      </w:rPr>
    </w:lvl>
    <w:lvl w:ilvl="1" w:tplc="9B5A76D8">
      <w:start w:val="1"/>
      <w:numFmt w:val="bullet"/>
      <w:lvlText w:val="o"/>
      <w:lvlJc w:val="left"/>
      <w:pPr>
        <w:tabs>
          <w:tab w:val="num" w:pos="1440"/>
        </w:tabs>
        <w:ind w:left="1440" w:hanging="360"/>
      </w:pPr>
      <w:rPr>
        <w:rFonts w:ascii="Courier New" w:hAnsi="Courier New"/>
      </w:rPr>
    </w:lvl>
    <w:lvl w:ilvl="2" w:tplc="CFFCAB30">
      <w:start w:val="1"/>
      <w:numFmt w:val="bullet"/>
      <w:lvlText w:val=""/>
      <w:lvlJc w:val="left"/>
      <w:pPr>
        <w:tabs>
          <w:tab w:val="num" w:pos="2160"/>
        </w:tabs>
        <w:ind w:left="2160" w:hanging="360"/>
      </w:pPr>
      <w:rPr>
        <w:rFonts w:ascii="Wingdings" w:hAnsi="Wingdings"/>
      </w:rPr>
    </w:lvl>
    <w:lvl w:ilvl="3" w:tplc="064AA4A0">
      <w:start w:val="1"/>
      <w:numFmt w:val="bullet"/>
      <w:lvlText w:val=""/>
      <w:lvlJc w:val="left"/>
      <w:pPr>
        <w:tabs>
          <w:tab w:val="num" w:pos="2880"/>
        </w:tabs>
        <w:ind w:left="2880" w:hanging="360"/>
      </w:pPr>
      <w:rPr>
        <w:rFonts w:ascii="Symbol" w:hAnsi="Symbol"/>
      </w:rPr>
    </w:lvl>
    <w:lvl w:ilvl="4" w:tplc="3D1A84E2">
      <w:start w:val="1"/>
      <w:numFmt w:val="bullet"/>
      <w:lvlText w:val="o"/>
      <w:lvlJc w:val="left"/>
      <w:pPr>
        <w:tabs>
          <w:tab w:val="num" w:pos="3600"/>
        </w:tabs>
        <w:ind w:left="3600" w:hanging="360"/>
      </w:pPr>
      <w:rPr>
        <w:rFonts w:ascii="Courier New" w:hAnsi="Courier New"/>
      </w:rPr>
    </w:lvl>
    <w:lvl w:ilvl="5" w:tplc="441C47E8">
      <w:start w:val="1"/>
      <w:numFmt w:val="bullet"/>
      <w:lvlText w:val=""/>
      <w:lvlJc w:val="left"/>
      <w:pPr>
        <w:tabs>
          <w:tab w:val="num" w:pos="4320"/>
        </w:tabs>
        <w:ind w:left="4320" w:hanging="360"/>
      </w:pPr>
      <w:rPr>
        <w:rFonts w:ascii="Wingdings" w:hAnsi="Wingdings"/>
      </w:rPr>
    </w:lvl>
    <w:lvl w:ilvl="6" w:tplc="FB0465EC">
      <w:start w:val="1"/>
      <w:numFmt w:val="bullet"/>
      <w:lvlText w:val=""/>
      <w:lvlJc w:val="left"/>
      <w:pPr>
        <w:tabs>
          <w:tab w:val="num" w:pos="5040"/>
        </w:tabs>
        <w:ind w:left="5040" w:hanging="360"/>
      </w:pPr>
      <w:rPr>
        <w:rFonts w:ascii="Symbol" w:hAnsi="Symbol"/>
      </w:rPr>
    </w:lvl>
    <w:lvl w:ilvl="7" w:tplc="97A8AFB8">
      <w:start w:val="1"/>
      <w:numFmt w:val="bullet"/>
      <w:lvlText w:val="o"/>
      <w:lvlJc w:val="left"/>
      <w:pPr>
        <w:tabs>
          <w:tab w:val="num" w:pos="5760"/>
        </w:tabs>
        <w:ind w:left="5760" w:hanging="360"/>
      </w:pPr>
      <w:rPr>
        <w:rFonts w:ascii="Courier New" w:hAnsi="Courier New"/>
      </w:rPr>
    </w:lvl>
    <w:lvl w:ilvl="8" w:tplc="BE3C9C2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2E0D"/>
    <w:rsid w:val="000A4945"/>
    <w:rsid w:val="000A50C1"/>
    <w:rsid w:val="000A6875"/>
    <w:rsid w:val="000B31E1"/>
    <w:rsid w:val="000B5190"/>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0F40"/>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552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B4D54"/>
    <w:rsid w:val="00CC0FAD"/>
    <w:rsid w:val="00CC3256"/>
    <w:rsid w:val="00CD7D97"/>
    <w:rsid w:val="00CE3EE6"/>
    <w:rsid w:val="00CE4BA1"/>
    <w:rsid w:val="00D000C7"/>
    <w:rsid w:val="00D52A9D"/>
    <w:rsid w:val="00D55AAD"/>
    <w:rsid w:val="00D70F5B"/>
    <w:rsid w:val="00D747AE"/>
    <w:rsid w:val="00D82431"/>
    <w:rsid w:val="00D87FE8"/>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EB90"/>
  <w15:docId w15:val="{10A1D679-E8DA-4078-8A76-64DD470F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europa.eu/en/publication-detail/-/publication/e8c8a008-3e99-11e7-a08e-01aa75ed71a1" TargetMode="External"/><Relationship Id="rId13" Type="http://schemas.openxmlformats.org/officeDocument/2006/relationships/hyperlink" Target="https://members.wto.org/crnattachments/2019/TBT/EEC/19_4881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lications.europa.eu/en/publication-detail/-/publication/e8c8a008-3e99-11e7-a08e-01aa75ed71a1"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ur-lex.europa.eu/legal-content/EN/TXT/?qid=1438768100804&amp;uri=CELEX:32011L006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ur-lex.europa.eu/legal-content/EN/TXT/?qid=1438768100804&amp;uri=CELEX:32011L0065" TargetMode="External"/><Relationship Id="rId14" Type="http://schemas.openxmlformats.org/officeDocument/2006/relationships/hyperlink" Target="https://members.wto.org/crnattachments/2019/TBT/EEC/19_4881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2019-09-04T13:18:00Z</dcterms:created>
  <dcterms:modified xsi:type="dcterms:W3CDTF">2019-09-04T13:23:00Z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