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B13954" w:rsidP="002F6A28">
      <w:pPr>
        <w:pStyle w:val="Title"/>
        <w:rPr>
          <w:caps w:val="0"/>
          <w:kern w:val="0"/>
        </w:rPr>
      </w:pPr>
      <w:r w:rsidRPr="002F6A28">
        <w:rPr>
          <w:caps w:val="0"/>
          <w:kern w:val="0"/>
        </w:rPr>
        <w:t>NOTIFICATION</w:t>
      </w:r>
    </w:p>
    <w:p w:rsidR="009239F7" w:rsidRPr="002F6A28" w:rsidRDefault="00B13954"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1486B" w:rsidTr="0069259F">
        <w:tc>
          <w:tcPr>
            <w:tcW w:w="713" w:type="dxa"/>
            <w:tcBorders>
              <w:bottom w:val="single" w:sz="6" w:space="0" w:color="auto"/>
            </w:tcBorders>
            <w:shd w:val="clear" w:color="auto" w:fill="auto"/>
          </w:tcPr>
          <w:p w:rsidR="00F85C99" w:rsidRPr="002F6A28" w:rsidRDefault="00B13954" w:rsidP="002F6A28">
            <w:pPr>
              <w:spacing w:before="120" w:after="120"/>
              <w:jc w:val="left"/>
            </w:pPr>
            <w:bookmarkStart w:id="0" w:name="_GoBack"/>
            <w:r w:rsidRPr="002F6A28">
              <w:rPr>
                <w:b/>
              </w:rPr>
              <w:t>1.</w:t>
            </w:r>
          </w:p>
        </w:tc>
        <w:tc>
          <w:tcPr>
            <w:tcW w:w="8546" w:type="dxa"/>
            <w:tcBorders>
              <w:bottom w:val="single" w:sz="6" w:space="0" w:color="auto"/>
            </w:tcBorders>
            <w:shd w:val="clear" w:color="auto" w:fill="auto"/>
          </w:tcPr>
          <w:p w:rsidR="00F85C99" w:rsidRPr="002F6A28" w:rsidRDefault="00B13954"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European Union</w:t>
            </w:r>
            <w:bookmarkEnd w:id="2"/>
            <w:r w:rsidRPr="002F6A28">
              <w:t xml:space="preserve"> </w:t>
            </w:r>
          </w:p>
          <w:p w:rsidR="00F85C99" w:rsidRPr="002F6A28" w:rsidRDefault="00B13954"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bookmarkEnd w:id="0"/>
      <w:tr w:rsidR="00A1486B" w:rsidRPr="007D3F55" w:rsidTr="0069259F">
        <w:tc>
          <w:tcPr>
            <w:tcW w:w="713" w:type="dxa"/>
            <w:tcBorders>
              <w:top w:val="single" w:sz="6" w:space="0" w:color="auto"/>
              <w:bottom w:val="single" w:sz="6" w:space="0" w:color="auto"/>
            </w:tcBorders>
            <w:shd w:val="clear" w:color="auto" w:fill="auto"/>
          </w:tcPr>
          <w:p w:rsidR="00F85C99" w:rsidRPr="002F6A28" w:rsidRDefault="00B1395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B13954"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European Commission</w:t>
            </w:r>
            <w:bookmarkEnd w:id="6"/>
          </w:p>
          <w:p w:rsidR="00F85C99" w:rsidRPr="002F6A28" w:rsidRDefault="00B13954"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rsidR="00F66620" w:rsidRPr="00A3556F" w:rsidRDefault="00B13954" w:rsidP="00AA646C">
            <w:pPr>
              <w:spacing w:after="120"/>
              <w:jc w:val="left"/>
              <w:rPr>
                <w:lang w:val="fr-CH"/>
              </w:rPr>
            </w:pPr>
            <w:r w:rsidRPr="00A3556F">
              <w:rPr>
                <w:lang w:val="fr-CH"/>
              </w:rPr>
              <w:t>European Commission</w:t>
            </w:r>
            <w:r w:rsidRPr="00A3556F">
              <w:rPr>
                <w:lang w:val="fr-CH"/>
              </w:rPr>
              <w:br/>
              <w:t>EU-TBT Enquiry Point</w:t>
            </w:r>
            <w:r w:rsidRPr="00A3556F">
              <w:rPr>
                <w:lang w:val="fr-CH"/>
              </w:rPr>
              <w:br/>
              <w:t>Fax: +(32) 2 299 80 43</w:t>
            </w:r>
            <w:r w:rsidRPr="00A3556F">
              <w:rPr>
                <w:lang w:val="fr-CH"/>
              </w:rPr>
              <w:br/>
              <w:t xml:space="preserve">E-mail: </w:t>
            </w:r>
            <w:r w:rsidR="007D3F55">
              <w:fldChar w:fldCharType="begin"/>
            </w:r>
            <w:r w:rsidR="007D3F55" w:rsidRPr="007D3F55">
              <w:rPr>
                <w:lang w:val="fr-CH"/>
              </w:rPr>
              <w:instrText xml:space="preserve"> HYPERLINK "m</w:instrText>
            </w:r>
            <w:r w:rsidR="007D3F55" w:rsidRPr="007D3F55">
              <w:rPr>
                <w:lang w:val="fr-CH"/>
              </w:rPr>
              <w:instrText xml:space="preserve">ailto:grow-eu-tbt@ec.europa.eu" </w:instrText>
            </w:r>
            <w:r w:rsidR="007D3F55">
              <w:fldChar w:fldCharType="separate"/>
            </w:r>
            <w:r w:rsidRPr="00A3556F">
              <w:rPr>
                <w:color w:val="0000FF"/>
                <w:u w:val="single"/>
                <w:lang w:val="fr-CH"/>
              </w:rPr>
              <w:t>grow-eu-tbt@ec.europa.eu</w:t>
            </w:r>
            <w:r w:rsidR="007D3F55">
              <w:rPr>
                <w:color w:val="0000FF"/>
                <w:u w:val="single"/>
                <w:lang w:val="fr-CH"/>
              </w:rPr>
              <w:fldChar w:fldCharType="end"/>
            </w:r>
            <w:r w:rsidRPr="00A3556F">
              <w:rPr>
                <w:lang w:val="fr-CH"/>
              </w:rPr>
              <w:br/>
              <w:t xml:space="preserve">Website: </w:t>
            </w:r>
            <w:r w:rsidR="007D3F55">
              <w:fldChar w:fldCharType="begin"/>
            </w:r>
            <w:r w:rsidR="007D3F55" w:rsidRPr="007D3F55">
              <w:rPr>
                <w:lang w:val="fr-CH"/>
              </w:rPr>
              <w:instrText xml:space="preserve"> HYPERLINK "http://ec.europa.eu/growth/tools-databases/tbt/en/" </w:instrText>
            </w:r>
            <w:r w:rsidR="007D3F55">
              <w:fldChar w:fldCharType="separate"/>
            </w:r>
            <w:r w:rsidRPr="00A3556F">
              <w:rPr>
                <w:color w:val="0000FF"/>
                <w:u w:val="single"/>
                <w:lang w:val="fr-CH"/>
              </w:rPr>
              <w:t>http://ec.europa.eu/growth/tools-databases/tbt/en/</w:t>
            </w:r>
            <w:r w:rsidR="007D3F55">
              <w:rPr>
                <w:color w:val="0000FF"/>
                <w:u w:val="single"/>
                <w:lang w:val="fr-CH"/>
              </w:rPr>
              <w:fldChar w:fldCharType="end"/>
            </w:r>
            <w:r w:rsidRPr="00A3556F">
              <w:rPr>
                <w:lang w:val="fr-CH"/>
              </w:rPr>
              <w:t xml:space="preserve"> </w:t>
            </w:r>
            <w:bookmarkEnd w:id="8"/>
          </w:p>
        </w:tc>
      </w:tr>
      <w:tr w:rsidR="00A1486B" w:rsidTr="0069259F">
        <w:tc>
          <w:tcPr>
            <w:tcW w:w="713" w:type="dxa"/>
            <w:tcBorders>
              <w:top w:val="single" w:sz="6" w:space="0" w:color="auto"/>
              <w:bottom w:val="single" w:sz="6" w:space="0" w:color="auto"/>
            </w:tcBorders>
            <w:shd w:val="clear" w:color="auto" w:fill="auto"/>
          </w:tcPr>
          <w:p w:rsidR="00F85C99" w:rsidRPr="002F6A28" w:rsidRDefault="00B1395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B13954"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A1486B" w:rsidTr="0069259F">
        <w:tc>
          <w:tcPr>
            <w:tcW w:w="713" w:type="dxa"/>
            <w:tcBorders>
              <w:top w:val="single" w:sz="6" w:space="0" w:color="auto"/>
              <w:bottom w:val="single" w:sz="6" w:space="0" w:color="auto"/>
            </w:tcBorders>
            <w:shd w:val="clear" w:color="auto" w:fill="auto"/>
          </w:tcPr>
          <w:p w:rsidR="00F85C99" w:rsidRPr="002F6A28" w:rsidRDefault="00B1395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B13954"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Hazardous substances and mixtures</w:t>
            </w:r>
            <w:bookmarkStart w:id="21" w:name="sps3a"/>
            <w:bookmarkEnd w:id="21"/>
          </w:p>
        </w:tc>
      </w:tr>
      <w:tr w:rsidR="00A1486B" w:rsidTr="0069259F">
        <w:tc>
          <w:tcPr>
            <w:tcW w:w="713" w:type="dxa"/>
            <w:tcBorders>
              <w:top w:val="single" w:sz="6" w:space="0" w:color="auto"/>
              <w:bottom w:val="single" w:sz="6" w:space="0" w:color="auto"/>
            </w:tcBorders>
            <w:shd w:val="clear" w:color="auto" w:fill="auto"/>
          </w:tcPr>
          <w:p w:rsidR="00F85C99" w:rsidRPr="002F6A28" w:rsidRDefault="00B1395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13954"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Commission Delegated Regulation (EU) amending Regulation (EC) No 1272/2008 of the European Parliament and of the Council on classification, labelling and packaging of substances and mixtures as regards information relating to emergency health response (5 pages + annex 6 pages, in English)</w:t>
            </w:r>
            <w:bookmarkStart w:id="23" w:name="sps5a"/>
            <w:bookmarkStart w:id="24" w:name="sps5c"/>
            <w:bookmarkStart w:id="25" w:name="sps5b"/>
            <w:bookmarkEnd w:id="23"/>
            <w:bookmarkEnd w:id="24"/>
            <w:bookmarkEnd w:id="25"/>
          </w:p>
        </w:tc>
      </w:tr>
      <w:tr w:rsidR="00A1486B" w:rsidTr="0069259F">
        <w:tc>
          <w:tcPr>
            <w:tcW w:w="713" w:type="dxa"/>
            <w:tcBorders>
              <w:top w:val="single" w:sz="6" w:space="0" w:color="auto"/>
              <w:bottom w:val="single" w:sz="6" w:space="0" w:color="auto"/>
            </w:tcBorders>
            <w:shd w:val="clear" w:color="auto" w:fill="auto"/>
          </w:tcPr>
          <w:p w:rsidR="00F85C99" w:rsidRPr="002F6A28" w:rsidRDefault="00B1395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13954"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According to Article 45(1) of the CLP Regulation, Member States' appointed bodies shall receive information from importers and downstream users on the hazardous chemical mixtures they place on the market. Commission Regulation (EU) No 2017/542 amended the CLP Regulation by adding an Annex harmonising the information to be provided relating to emergency health response ("Annex VIII"). Annex</w:t>
            </w:r>
            <w:r w:rsidR="006C180E">
              <w:t> </w:t>
            </w:r>
            <w:r w:rsidR="00FE448B" w:rsidRPr="00C379C8">
              <w:t xml:space="preserve">VIII was adopted in March 2017 and will become applicable on 1 January 2020. </w:t>
            </w:r>
          </w:p>
          <w:p w:rsidR="00FE448B" w:rsidRPr="00C379C8" w:rsidRDefault="00B13954" w:rsidP="002F6A28">
            <w:pPr>
              <w:spacing w:after="120"/>
            </w:pPr>
            <w:r w:rsidRPr="00C379C8">
              <w:t>The Commission is proposing an amendment to Annex VIII before its applicability date that would contain uncontentious clarifications of the text, so as to streamline interpretation, improve internal coherence, and mitigate some unintended consequences made apparent only after the adoption of the Annex.</w:t>
            </w:r>
          </w:p>
        </w:tc>
      </w:tr>
      <w:tr w:rsidR="00A1486B" w:rsidTr="0069259F">
        <w:tc>
          <w:tcPr>
            <w:tcW w:w="713" w:type="dxa"/>
            <w:tcBorders>
              <w:top w:val="single" w:sz="6" w:space="0" w:color="auto"/>
              <w:bottom w:val="single" w:sz="6" w:space="0" w:color="auto"/>
            </w:tcBorders>
            <w:shd w:val="clear" w:color="auto" w:fill="auto"/>
          </w:tcPr>
          <w:p w:rsidR="00F85C99" w:rsidRPr="002F6A28" w:rsidRDefault="00B1395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B1395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human health and the environment, ensuring the proper functioning of the EU internal market</w:t>
            </w:r>
            <w:bookmarkStart w:id="28" w:name="sps7f"/>
            <w:bookmarkEnd w:id="28"/>
            <w:r w:rsidR="006C180E">
              <w:t>.</w:t>
            </w:r>
          </w:p>
        </w:tc>
      </w:tr>
      <w:tr w:rsidR="00A1486B" w:rsidTr="0069259F">
        <w:tc>
          <w:tcPr>
            <w:tcW w:w="713" w:type="dxa"/>
            <w:tcBorders>
              <w:top w:val="single" w:sz="6" w:space="0" w:color="auto"/>
              <w:bottom w:val="single" w:sz="6" w:space="0" w:color="auto"/>
            </w:tcBorders>
            <w:shd w:val="clear" w:color="auto" w:fill="auto"/>
          </w:tcPr>
          <w:p w:rsidR="00F85C99" w:rsidRPr="002F6A28" w:rsidRDefault="00B13954" w:rsidP="00455A65">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B13954" w:rsidP="00455A65">
            <w:pPr>
              <w:keepNext/>
              <w:keepLines/>
              <w:spacing w:before="120" w:after="120"/>
            </w:pPr>
            <w:bookmarkStart w:id="29" w:name="X_TBT_Reg_8A"/>
            <w:r w:rsidRPr="002F6A28">
              <w:rPr>
                <w:b/>
              </w:rPr>
              <w:t>Relevant documents</w:t>
            </w:r>
            <w:bookmarkEnd w:id="29"/>
            <w:r w:rsidRPr="002F6A28">
              <w:rPr>
                <w:b/>
              </w:rPr>
              <w:t>:</w:t>
            </w:r>
            <w:r w:rsidR="00EE3A11" w:rsidRPr="002F6A28">
              <w:t xml:space="preserve"> </w:t>
            </w:r>
          </w:p>
          <w:p w:rsidR="00455A65" w:rsidRDefault="00B13954" w:rsidP="00455A65">
            <w:pPr>
              <w:keepNext/>
              <w:keepLines/>
              <w:numPr>
                <w:ilvl w:val="0"/>
                <w:numId w:val="16"/>
              </w:numPr>
              <w:spacing w:before="120" w:after="120"/>
              <w:jc w:val="left"/>
              <w:rPr>
                <w:bCs/>
              </w:rPr>
            </w:pPr>
            <w:r w:rsidRPr="00455A65">
              <w:rPr>
                <w:bCs/>
              </w:rPr>
              <w:t xml:space="preserve">Regulation (EC) 1272/2008 on classification, labelling and packaging of substances and mixtures, amending and repealing Directives 67/548/EEC and 1999/45/EC, and amending Regulation (EC) No 1907/2006 (OJ L 353, 31.12.2008, p. 1.). </w:t>
            </w:r>
          </w:p>
          <w:p w:rsidR="00F66620" w:rsidRPr="00455A65" w:rsidRDefault="007D3F55" w:rsidP="00455A65">
            <w:pPr>
              <w:keepNext/>
              <w:keepLines/>
              <w:spacing w:before="120" w:after="120"/>
              <w:ind w:left="720"/>
              <w:jc w:val="left"/>
              <w:rPr>
                <w:bCs/>
              </w:rPr>
            </w:pPr>
            <w:hyperlink r:id="rId7" w:history="1">
              <w:r w:rsidR="00B13954" w:rsidRPr="00455A65">
                <w:rPr>
                  <w:bCs/>
                  <w:color w:val="0000FF"/>
                  <w:u w:val="single"/>
                </w:rPr>
                <w:t>http://eur-lex.europa.eu/LexUriServ/LexUriServ.do?uri=OJ:L:2008:353:0001:1355:EN:PDF</w:t>
              </w:r>
            </w:hyperlink>
          </w:p>
          <w:p w:rsidR="00455A65" w:rsidRDefault="00B13954" w:rsidP="00455A65">
            <w:pPr>
              <w:keepNext/>
              <w:keepLines/>
              <w:numPr>
                <w:ilvl w:val="0"/>
                <w:numId w:val="16"/>
              </w:numPr>
              <w:spacing w:before="120" w:after="120"/>
              <w:jc w:val="left"/>
              <w:rPr>
                <w:bCs/>
              </w:rPr>
            </w:pPr>
            <w:r w:rsidRPr="002F6A28">
              <w:rPr>
                <w:bCs/>
              </w:rPr>
              <w:t>Commission Regulation (EU) No 2017/542 amended the CLP Regulation by adding an Annex harmonising the information to be provided relating to emergency health response (OJ L 78/1, 23.3.2017, p.1)</w:t>
            </w:r>
          </w:p>
          <w:p w:rsidR="00F66620" w:rsidRPr="002F6A28" w:rsidRDefault="007D3F55" w:rsidP="00455A65">
            <w:pPr>
              <w:keepNext/>
              <w:keepLines/>
              <w:spacing w:before="120" w:after="120"/>
              <w:ind w:left="720"/>
              <w:jc w:val="left"/>
              <w:rPr>
                <w:bCs/>
              </w:rPr>
            </w:pPr>
            <w:hyperlink r:id="rId8" w:history="1">
              <w:r w:rsidR="00B13954" w:rsidRPr="00E1236A">
                <w:rPr>
                  <w:rStyle w:val="Hyperlink"/>
                  <w:bCs/>
                </w:rPr>
                <w:t>http://data.europa.eu/eli/reg/2017/542/oj</w:t>
              </w:r>
            </w:hyperlink>
          </w:p>
        </w:tc>
      </w:tr>
      <w:tr w:rsidR="00A1486B" w:rsidTr="00AE6CC8">
        <w:trPr>
          <w:cantSplit/>
        </w:trPr>
        <w:tc>
          <w:tcPr>
            <w:tcW w:w="713" w:type="dxa"/>
            <w:tcBorders>
              <w:top w:val="single" w:sz="6" w:space="0" w:color="auto"/>
              <w:bottom w:val="single" w:sz="6" w:space="0" w:color="auto"/>
            </w:tcBorders>
            <w:shd w:val="clear" w:color="auto" w:fill="auto"/>
          </w:tcPr>
          <w:p w:rsidR="00EE3A11" w:rsidRPr="002F6A28" w:rsidRDefault="00B1395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B13954"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4</w:t>
            </w:r>
            <w:r w:rsidRPr="00455A65">
              <w:rPr>
                <w:vertAlign w:val="superscript"/>
              </w:rPr>
              <w:t>th</w:t>
            </w:r>
            <w:r w:rsidRPr="002F6A28">
              <w:t xml:space="preserve"> quarter 2019</w:t>
            </w:r>
            <w:bookmarkEnd w:id="32"/>
          </w:p>
          <w:p w:rsidR="00EE3A11" w:rsidRPr="002F6A28" w:rsidRDefault="00B13954"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 xml:space="preserve">20 days from publication in the Official Journal of the EU (about a month after adoption). </w:t>
            </w:r>
            <w:bookmarkEnd w:id="35"/>
          </w:p>
        </w:tc>
      </w:tr>
      <w:tr w:rsidR="00A1486B" w:rsidTr="0069259F">
        <w:tc>
          <w:tcPr>
            <w:tcW w:w="713" w:type="dxa"/>
            <w:tcBorders>
              <w:top w:val="single" w:sz="6" w:space="0" w:color="auto"/>
              <w:bottom w:val="single" w:sz="6" w:space="0" w:color="auto"/>
            </w:tcBorders>
            <w:shd w:val="clear" w:color="auto" w:fill="auto"/>
          </w:tcPr>
          <w:p w:rsidR="00F85C99" w:rsidRPr="002F6A28" w:rsidRDefault="00B1395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B13954"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A1486B" w:rsidTr="0069259F">
        <w:tc>
          <w:tcPr>
            <w:tcW w:w="713" w:type="dxa"/>
            <w:tcBorders>
              <w:top w:val="single" w:sz="6" w:space="0" w:color="auto"/>
            </w:tcBorders>
            <w:shd w:val="clear" w:color="auto" w:fill="auto"/>
          </w:tcPr>
          <w:p w:rsidR="00F85C99" w:rsidRPr="002F6A28" w:rsidRDefault="00B1395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B13954"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 xml:space="preserve">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455A65" w:rsidRPr="00B13954" w:rsidRDefault="00B13954" w:rsidP="00455A65">
            <w:pPr>
              <w:keepNext/>
              <w:keepLines/>
              <w:spacing w:before="120" w:after="120"/>
              <w:jc w:val="left"/>
              <w:rPr>
                <w:color w:val="0000FF"/>
                <w:u w:val="single"/>
                <w:lang w:val="fr-CH"/>
              </w:rPr>
            </w:pPr>
            <w:r w:rsidRPr="007D3F55">
              <w:rPr>
                <w:lang w:val="fr-CH"/>
              </w:rPr>
              <w:t>European</w:t>
            </w:r>
            <w:r w:rsidRPr="00B13954">
              <w:rPr>
                <w:lang w:val="fr-CH"/>
              </w:rPr>
              <w:t xml:space="preserve"> Commission</w:t>
            </w:r>
            <w:r w:rsidRPr="00B13954">
              <w:rPr>
                <w:lang w:val="fr-CH"/>
              </w:rPr>
              <w:br/>
              <w:t xml:space="preserve">EU-TBT </w:t>
            </w:r>
            <w:proofErr w:type="spellStart"/>
            <w:r w:rsidRPr="00B13954">
              <w:rPr>
                <w:lang w:val="fr-CH"/>
              </w:rPr>
              <w:t>Enquiry</w:t>
            </w:r>
            <w:proofErr w:type="spellEnd"/>
            <w:r w:rsidRPr="00B13954">
              <w:rPr>
                <w:lang w:val="fr-CH"/>
              </w:rPr>
              <w:t xml:space="preserve"> Point</w:t>
            </w:r>
            <w:r w:rsidRPr="00B13954">
              <w:rPr>
                <w:lang w:val="fr-CH"/>
              </w:rPr>
              <w:br/>
              <w:t>Fax: + (32) 2 299 80 43</w:t>
            </w:r>
            <w:r w:rsidRPr="00B13954">
              <w:rPr>
                <w:lang w:val="fr-CH"/>
              </w:rPr>
              <w:br/>
              <w:t xml:space="preserve">E-mail: </w:t>
            </w:r>
            <w:hyperlink r:id="rId9" w:history="1">
              <w:r w:rsidRPr="00B13954">
                <w:rPr>
                  <w:color w:val="0000FF"/>
                  <w:u w:val="single"/>
                  <w:lang w:val="fr-CH"/>
                </w:rPr>
                <w:t>grow-eu-tbt@ec.europa.eu</w:t>
              </w:r>
            </w:hyperlink>
          </w:p>
          <w:p w:rsidR="00455A65" w:rsidRDefault="00B13954" w:rsidP="00455A65">
            <w:pPr>
              <w:keepNext/>
              <w:keepLines/>
              <w:spacing w:before="120" w:after="120"/>
              <w:jc w:val="left"/>
            </w:pPr>
            <w:r w:rsidRPr="002F6A28">
              <w:t xml:space="preserve">The text is available on the EU-TBT Website: </w:t>
            </w:r>
            <w:hyperlink r:id="rId10" w:history="1">
              <w:r w:rsidRPr="002F6A28">
                <w:rPr>
                  <w:color w:val="0000FF"/>
                  <w:u w:val="single"/>
                </w:rPr>
                <w:t>http://ec.europa.eu/growth/tools-databases/tbt/en/</w:t>
              </w:r>
            </w:hyperlink>
          </w:p>
          <w:p w:rsidR="00F66620" w:rsidRDefault="007D3F55" w:rsidP="00455A65">
            <w:pPr>
              <w:keepNext/>
              <w:keepLines/>
              <w:spacing w:before="120" w:after="120"/>
              <w:jc w:val="left"/>
            </w:pPr>
            <w:hyperlink r:id="rId11" w:history="1">
              <w:r w:rsidR="00B13954" w:rsidRPr="002F6A28">
                <w:rPr>
                  <w:color w:val="0000FF"/>
                  <w:u w:val="single"/>
                </w:rPr>
                <w:t>https://members.wto.org/crnattachments/2019/TBT/EEC/19_4025_00_e.pdf</w:t>
              </w:r>
            </w:hyperlink>
            <w:bookmarkEnd w:id="41"/>
          </w:p>
          <w:p w:rsidR="005B6232" w:rsidRPr="002F6A28" w:rsidRDefault="007D3F55" w:rsidP="00455A65">
            <w:pPr>
              <w:keepNext/>
              <w:keepLines/>
              <w:spacing w:before="120" w:after="120"/>
              <w:jc w:val="left"/>
            </w:pPr>
            <w:hyperlink r:id="rId12" w:history="1">
              <w:r w:rsidR="00B13954" w:rsidRPr="002F6A28">
                <w:rPr>
                  <w:color w:val="0000FF"/>
                  <w:u w:val="single"/>
                </w:rPr>
                <w:t>https://members.wto.org/crnattachments/2019/TBT/EEC/19_4025_01_e.pdf</w:t>
              </w:r>
            </w:hyperlink>
          </w:p>
        </w:tc>
      </w:tr>
    </w:tbl>
    <w:p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320" w:rsidRDefault="00B13954">
      <w:r>
        <w:separator/>
      </w:r>
    </w:p>
  </w:endnote>
  <w:endnote w:type="continuationSeparator" w:id="0">
    <w:p w:rsidR="00874320" w:rsidRDefault="00B1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1395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1395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B1395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320" w:rsidRDefault="00B13954">
      <w:r>
        <w:separator/>
      </w:r>
    </w:p>
  </w:footnote>
  <w:footnote w:type="continuationSeparator" w:id="0">
    <w:p w:rsidR="00874320" w:rsidRDefault="00B1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13954"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B1395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13954" w:rsidP="009239F7">
    <w:pPr>
      <w:pStyle w:val="Header"/>
      <w:pBdr>
        <w:bottom w:val="single" w:sz="4" w:space="1" w:color="auto"/>
      </w:pBdr>
      <w:tabs>
        <w:tab w:val="clear" w:pos="4513"/>
        <w:tab w:val="clear" w:pos="9027"/>
      </w:tabs>
      <w:jc w:val="center"/>
    </w:pPr>
    <w:bookmarkStart w:id="42" w:name="spsSymbolHeader"/>
    <w:r w:rsidRPr="002F6A28">
      <w:t>G/TBT/N/EU/669</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B1395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486B"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A1486B" w:rsidTr="008612A9">
      <w:trPr>
        <w:trHeight w:val="213"/>
        <w:jc w:val="center"/>
      </w:trPr>
      <w:tc>
        <w:tcPr>
          <w:tcW w:w="3794" w:type="dxa"/>
          <w:vMerge w:val="restart"/>
          <w:shd w:val="clear" w:color="auto" w:fill="FFFFFF"/>
          <w:tcMar>
            <w:left w:w="0" w:type="dxa"/>
            <w:right w:w="0" w:type="dxa"/>
          </w:tcMar>
        </w:tcPr>
        <w:p w:rsidR="00ED54E0" w:rsidRPr="009239F7" w:rsidRDefault="00B13954"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940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A1486B"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B13954" w:rsidP="00B801E9">
          <w:pPr>
            <w:jc w:val="right"/>
            <w:rPr>
              <w:b/>
              <w:szCs w:val="16"/>
            </w:rPr>
          </w:pPr>
          <w:bookmarkStart w:id="44" w:name="bmkSymbols"/>
          <w:r w:rsidRPr="002F6A28">
            <w:rPr>
              <w:b/>
              <w:szCs w:val="16"/>
            </w:rPr>
            <w:t>G/TBT/N/EU/669</w:t>
          </w:r>
          <w:bookmarkEnd w:id="44"/>
        </w:p>
      </w:tc>
    </w:tr>
    <w:tr w:rsidR="00A1486B"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B13954" w:rsidP="00B801E9">
          <w:pPr>
            <w:jc w:val="right"/>
            <w:rPr>
              <w:szCs w:val="16"/>
            </w:rPr>
          </w:pPr>
          <w:bookmarkStart w:id="45" w:name="spsDateDistribution"/>
          <w:bookmarkStart w:id="46" w:name="bmkDate"/>
          <w:bookmarkEnd w:id="45"/>
          <w:bookmarkEnd w:id="46"/>
          <w:r>
            <w:rPr>
              <w:szCs w:val="16"/>
            </w:rPr>
            <w:t>19 July 2019</w:t>
          </w:r>
        </w:p>
      </w:tc>
    </w:tr>
    <w:tr w:rsidR="00A1486B"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13954" w:rsidP="0097650D">
          <w:pPr>
            <w:jc w:val="left"/>
            <w:rPr>
              <w:b/>
            </w:rPr>
          </w:pPr>
          <w:bookmarkStart w:id="47" w:name="bmkSerial"/>
          <w:r w:rsidRPr="002F6A28">
            <w:rPr>
              <w:color w:val="FF0000"/>
              <w:szCs w:val="16"/>
            </w:rPr>
            <w:t>(</w:t>
          </w:r>
          <w:bookmarkStart w:id="48" w:name="spsSerialNumber"/>
          <w:bookmarkEnd w:id="48"/>
          <w:r>
            <w:rPr>
              <w:color w:val="FF0000"/>
              <w:szCs w:val="16"/>
            </w:rPr>
            <w:t>19-</w:t>
          </w:r>
          <w:r w:rsidR="007D3F55">
            <w:rPr>
              <w:color w:val="FF0000"/>
              <w:szCs w:val="16"/>
            </w:rPr>
            <w:t>4815</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B13954"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A1486B"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B13954"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B13954"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EA60D8">
      <w:start w:val="1"/>
      <w:numFmt w:val="decimal"/>
      <w:pStyle w:val="SummaryText"/>
      <w:lvlText w:val="%1."/>
      <w:lvlJc w:val="left"/>
      <w:pPr>
        <w:ind w:left="360" w:hanging="360"/>
      </w:pPr>
    </w:lvl>
    <w:lvl w:ilvl="1" w:tplc="9FE6AC2A" w:tentative="1">
      <w:start w:val="1"/>
      <w:numFmt w:val="lowerLetter"/>
      <w:lvlText w:val="%2."/>
      <w:lvlJc w:val="left"/>
      <w:pPr>
        <w:ind w:left="1080" w:hanging="360"/>
      </w:pPr>
    </w:lvl>
    <w:lvl w:ilvl="2" w:tplc="39221F36" w:tentative="1">
      <w:start w:val="1"/>
      <w:numFmt w:val="lowerRoman"/>
      <w:lvlText w:val="%3."/>
      <w:lvlJc w:val="right"/>
      <w:pPr>
        <w:ind w:left="1800" w:hanging="180"/>
      </w:pPr>
    </w:lvl>
    <w:lvl w:ilvl="3" w:tplc="DF36A7D8" w:tentative="1">
      <w:start w:val="1"/>
      <w:numFmt w:val="decimal"/>
      <w:lvlText w:val="%4."/>
      <w:lvlJc w:val="left"/>
      <w:pPr>
        <w:ind w:left="2520" w:hanging="360"/>
      </w:pPr>
    </w:lvl>
    <w:lvl w:ilvl="4" w:tplc="88ACBE40" w:tentative="1">
      <w:start w:val="1"/>
      <w:numFmt w:val="lowerLetter"/>
      <w:lvlText w:val="%5."/>
      <w:lvlJc w:val="left"/>
      <w:pPr>
        <w:ind w:left="3240" w:hanging="360"/>
      </w:pPr>
    </w:lvl>
    <w:lvl w:ilvl="5" w:tplc="432C4976" w:tentative="1">
      <w:start w:val="1"/>
      <w:numFmt w:val="lowerRoman"/>
      <w:lvlText w:val="%6."/>
      <w:lvlJc w:val="right"/>
      <w:pPr>
        <w:ind w:left="3960" w:hanging="180"/>
      </w:pPr>
    </w:lvl>
    <w:lvl w:ilvl="6" w:tplc="86A0334E" w:tentative="1">
      <w:start w:val="1"/>
      <w:numFmt w:val="decimal"/>
      <w:lvlText w:val="%7."/>
      <w:lvlJc w:val="left"/>
      <w:pPr>
        <w:ind w:left="4680" w:hanging="360"/>
      </w:pPr>
    </w:lvl>
    <w:lvl w:ilvl="7" w:tplc="80780F58" w:tentative="1">
      <w:start w:val="1"/>
      <w:numFmt w:val="lowerLetter"/>
      <w:lvlText w:val="%8."/>
      <w:lvlJc w:val="left"/>
      <w:pPr>
        <w:ind w:left="5400" w:hanging="360"/>
      </w:pPr>
    </w:lvl>
    <w:lvl w:ilvl="8" w:tplc="EAD4768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008AF9E">
      <w:start w:val="1"/>
      <w:numFmt w:val="bullet"/>
      <w:lvlText w:val=""/>
      <w:lvlJc w:val="left"/>
      <w:pPr>
        <w:ind w:left="720" w:hanging="360"/>
      </w:pPr>
      <w:rPr>
        <w:rFonts w:ascii="Symbol" w:hAnsi="Symbol"/>
      </w:rPr>
    </w:lvl>
    <w:lvl w:ilvl="1" w:tplc="CE52E05A">
      <w:start w:val="1"/>
      <w:numFmt w:val="bullet"/>
      <w:lvlText w:val="o"/>
      <w:lvlJc w:val="left"/>
      <w:pPr>
        <w:tabs>
          <w:tab w:val="num" w:pos="1440"/>
        </w:tabs>
        <w:ind w:left="1440" w:hanging="360"/>
      </w:pPr>
      <w:rPr>
        <w:rFonts w:ascii="Courier New" w:hAnsi="Courier New"/>
      </w:rPr>
    </w:lvl>
    <w:lvl w:ilvl="2" w:tplc="8C5E5D08">
      <w:start w:val="1"/>
      <w:numFmt w:val="bullet"/>
      <w:lvlText w:val=""/>
      <w:lvlJc w:val="left"/>
      <w:pPr>
        <w:tabs>
          <w:tab w:val="num" w:pos="2160"/>
        </w:tabs>
        <w:ind w:left="2160" w:hanging="360"/>
      </w:pPr>
      <w:rPr>
        <w:rFonts w:ascii="Wingdings" w:hAnsi="Wingdings"/>
      </w:rPr>
    </w:lvl>
    <w:lvl w:ilvl="3" w:tplc="7BDAF9F4">
      <w:start w:val="1"/>
      <w:numFmt w:val="bullet"/>
      <w:lvlText w:val=""/>
      <w:lvlJc w:val="left"/>
      <w:pPr>
        <w:tabs>
          <w:tab w:val="num" w:pos="2880"/>
        </w:tabs>
        <w:ind w:left="2880" w:hanging="360"/>
      </w:pPr>
      <w:rPr>
        <w:rFonts w:ascii="Symbol" w:hAnsi="Symbol"/>
      </w:rPr>
    </w:lvl>
    <w:lvl w:ilvl="4" w:tplc="88B40C2A">
      <w:start w:val="1"/>
      <w:numFmt w:val="bullet"/>
      <w:lvlText w:val="o"/>
      <w:lvlJc w:val="left"/>
      <w:pPr>
        <w:tabs>
          <w:tab w:val="num" w:pos="3600"/>
        </w:tabs>
        <w:ind w:left="3600" w:hanging="360"/>
      </w:pPr>
      <w:rPr>
        <w:rFonts w:ascii="Courier New" w:hAnsi="Courier New"/>
      </w:rPr>
    </w:lvl>
    <w:lvl w:ilvl="5" w:tplc="1D56D4F0">
      <w:start w:val="1"/>
      <w:numFmt w:val="bullet"/>
      <w:lvlText w:val=""/>
      <w:lvlJc w:val="left"/>
      <w:pPr>
        <w:tabs>
          <w:tab w:val="num" w:pos="4320"/>
        </w:tabs>
        <w:ind w:left="4320" w:hanging="360"/>
      </w:pPr>
      <w:rPr>
        <w:rFonts w:ascii="Wingdings" w:hAnsi="Wingdings"/>
      </w:rPr>
    </w:lvl>
    <w:lvl w:ilvl="6" w:tplc="9E883F76">
      <w:start w:val="1"/>
      <w:numFmt w:val="bullet"/>
      <w:lvlText w:val=""/>
      <w:lvlJc w:val="left"/>
      <w:pPr>
        <w:tabs>
          <w:tab w:val="num" w:pos="5040"/>
        </w:tabs>
        <w:ind w:left="5040" w:hanging="360"/>
      </w:pPr>
      <w:rPr>
        <w:rFonts w:ascii="Symbol" w:hAnsi="Symbol"/>
      </w:rPr>
    </w:lvl>
    <w:lvl w:ilvl="7" w:tplc="E78C6C82">
      <w:start w:val="1"/>
      <w:numFmt w:val="bullet"/>
      <w:lvlText w:val="o"/>
      <w:lvlJc w:val="left"/>
      <w:pPr>
        <w:tabs>
          <w:tab w:val="num" w:pos="5760"/>
        </w:tabs>
        <w:ind w:left="5760" w:hanging="360"/>
      </w:pPr>
      <w:rPr>
        <w:rFonts w:ascii="Courier New" w:hAnsi="Courier New"/>
      </w:rPr>
    </w:lvl>
    <w:lvl w:ilvl="8" w:tplc="366C399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F5162"/>
    <w:rsid w:val="0041584A"/>
    <w:rsid w:val="004423A4"/>
    <w:rsid w:val="00455A65"/>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232"/>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C180E"/>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D3F55"/>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74320"/>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1486B"/>
    <w:rsid w:val="00A3556F"/>
    <w:rsid w:val="00A6057A"/>
    <w:rsid w:val="00A611FF"/>
    <w:rsid w:val="00A71BE1"/>
    <w:rsid w:val="00A74017"/>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3954"/>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236A"/>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66620"/>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45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7/542/oj"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ur-lex.europa.eu/LexUriServ/LexUriServ.do?uri=OJ:L:2008:353:0001:1355:EN:PDF" TargetMode="External"/><Relationship Id="rId12" Type="http://schemas.openxmlformats.org/officeDocument/2006/relationships/hyperlink" Target="https://members.wto.org/crnattachments/2019/TBT/EEC/19_4025_01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19/TBT/EEC/19_4025_00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europa.eu/growth/tools-databases/tbt/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ow-eu-tbt@ec.europa.e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2019-07-19T07:26:00Z</dcterms:created>
  <dcterms:modified xsi:type="dcterms:W3CDTF">2019-07-19T12:54:00Z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