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90DD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90DD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A403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490DD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A4036" w:rsidRPr="00490DD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490DD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</w:t>
            </w:r>
            <w:r w:rsidRPr="002F6A28">
              <w:rPr>
                <w:b/>
              </w:rPr>
              <w:t xml:space="preserve">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5A4AB6" w:rsidRPr="00C85226" w:rsidRDefault="00490DD4" w:rsidP="00AA646C">
            <w:pPr>
              <w:spacing w:after="120"/>
              <w:jc w:val="left"/>
              <w:rPr>
                <w:lang w:val="fr-CH"/>
              </w:rPr>
            </w:pPr>
            <w:r w:rsidRPr="00C85226">
              <w:rPr>
                <w:lang w:val="fr-CH"/>
              </w:rPr>
              <w:t>European Commission</w:t>
            </w:r>
            <w:r w:rsidRPr="00C85226">
              <w:rPr>
                <w:lang w:val="fr-CH"/>
              </w:rPr>
              <w:br/>
              <w:t>EU-TBT Enquiry Point</w:t>
            </w:r>
            <w:r w:rsidRPr="00C85226">
              <w:rPr>
                <w:lang w:val="fr-CH"/>
              </w:rPr>
              <w:br/>
            </w:r>
            <w:r w:rsidRPr="00C85226">
              <w:rPr>
                <w:lang w:val="fr-CH"/>
              </w:rPr>
              <w:t>Fax: +(32) 2 299 80 43</w:t>
            </w:r>
            <w:r w:rsidRPr="00C85226">
              <w:rPr>
                <w:lang w:val="fr-CH"/>
              </w:rPr>
              <w:br/>
              <w:t xml:space="preserve">E-mail: </w:t>
            </w:r>
            <w:hyperlink r:id="rId7" w:history="1">
              <w:r w:rsidRPr="00C85226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C85226">
              <w:rPr>
                <w:lang w:val="fr-CH"/>
              </w:rPr>
              <w:br/>
              <w:t xml:space="preserve">Website: </w:t>
            </w:r>
            <w:hyperlink r:id="rId8" w:history="1">
              <w:r w:rsidRPr="00C85226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C85226">
              <w:rPr>
                <w:lang w:val="fr-CH"/>
              </w:rPr>
              <w:t xml:space="preserve"> </w:t>
            </w:r>
            <w:bookmarkEnd w:id="7"/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90DD4" w:rsidP="000D4050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</w:t>
            </w:r>
            <w:r w:rsidRPr="002F6A28">
              <w:rPr>
                <w:b/>
              </w:rPr>
              <w:t>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r w:rsidR="000D4050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X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0D4050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036EFF">
              <w:rPr>
                <w:b/>
              </w:rPr>
              <w:t xml:space="preserve"> </w:t>
            </w:r>
            <w:r w:rsidR="00036EFF" w:rsidRPr="002F6A28">
              <w:rPr>
                <w:b/>
              </w:rPr>
              <w:t>[</w:t>
            </w:r>
            <w:r w:rsidR="000D4050" w:rsidRPr="002F6A28">
              <w:rPr>
                <w:b/>
              </w:rPr>
              <w:t> </w:t>
            </w:r>
            <w:r w:rsidR="00036EFF" w:rsidRPr="002F6A28">
              <w:rPr>
                <w:b/>
              </w:rPr>
              <w:t>]</w:t>
            </w:r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5" w:name="tbt3e"/>
            <w:bookmarkEnd w:id="15"/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Articles made of polyvinyl chloride (PVC) containing lead and lead compounds.</w:t>
            </w:r>
            <w:bookmarkStart w:id="17" w:name="sps3a"/>
            <w:bookmarkEnd w:id="17"/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 XVII to Regulation (EC) No 1907/2006 of the European Parliament and of the Council on the Registration, Evaluation, Authorisation and Restriction of Chemicals (REACH) as regards lead and its compounds (6 pages + Annex 4 pages, in English)</w:t>
            </w:r>
            <w:bookmarkStart w:id="19" w:name="sps5a"/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This draft Regulation would amend entry 63 to Annex XVII to Regulation (EC) No 1907/2006.</w:t>
            </w:r>
          </w:p>
          <w:p w:rsidR="00FE448B" w:rsidRPr="00C379C8" w:rsidRDefault="00490DD4" w:rsidP="000D4050">
            <w:pPr>
              <w:spacing w:after="120"/>
            </w:pPr>
            <w:r w:rsidRPr="00C379C8">
              <w:t>It would prohibit the use of lead and lead compounds in articles produced from polymers or copolymers of vinyl chloride as well as their placing on the market in art</w:t>
            </w:r>
            <w:r w:rsidRPr="00C379C8">
              <w:t>icles produced from PVC if the concentration of lead (expressed as metal) is equal to or greater than 0.1% by weight of the PVC material. Time-limited exemptions from this limit are provided for rigid and flexible recycled PVC material and for PVC-silica s</w:t>
            </w:r>
            <w:r w:rsidRPr="00C379C8">
              <w:t>eparators in lead acid batteries.</w:t>
            </w:r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To reduce releases of lead during the service life of PVC articles thereby contributing to reducing direct and indirect exposure to lead, a toxic metal</w:t>
            </w:r>
            <w:bookmarkStart w:id="24" w:name="sps7f"/>
            <w:bookmarkEnd w:id="24"/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90DD4" w:rsidP="000D4050">
            <w:pPr>
              <w:keepNext/>
              <w:keepLines/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A4AB6" w:rsidRPr="000D4050" w:rsidRDefault="00490DD4" w:rsidP="000D405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0D4050">
              <w:rPr>
                <w:bCs/>
              </w:rPr>
              <w:t>Regulation (EC) No 1907/2006 of the European Parliament and of the Council on the Registration, Evaluation, Authorisation and Restriction of Chemicals (REACH</w:t>
            </w:r>
            <w:r w:rsidR="00713A8D">
              <w:rPr>
                <w:bCs/>
              </w:rPr>
              <w:t> </w:t>
            </w:r>
            <w:r w:rsidRPr="000D4050">
              <w:rPr>
                <w:bCs/>
              </w:rPr>
              <w:t>Regulation): </w:t>
            </w:r>
            <w:hyperlink r:id="rId9" w:history="1">
              <w:r w:rsidRPr="000D4050">
                <w:rPr>
                  <w:bCs/>
                  <w:color w:val="0000FF"/>
                  <w:u w:val="single"/>
                </w:rPr>
                <w:t>http://eur-lex.europa.eu/legal-content/EN/TXT/?qid=1423064258789&amp;uri=CELEX:32006R1907</w:t>
              </w:r>
            </w:hyperlink>
          </w:p>
          <w:p w:rsidR="005A4AB6" w:rsidRPr="002F6A28" w:rsidRDefault="00490DD4" w:rsidP="000D405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hyperlink r:id="rId10" w:history="1">
              <w:r w:rsidRPr="002F6A28">
                <w:rPr>
                  <w:bCs/>
                  <w:color w:val="0000FF"/>
                  <w:u w:val="single"/>
                </w:rPr>
                <w:t>Annex XV dossier for restriction and opinions of ECHA Committees</w:t>
              </w:r>
            </w:hyperlink>
          </w:p>
        </w:tc>
      </w:tr>
      <w:tr w:rsidR="000A403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90DD4" w:rsidP="000D405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90DD4" w:rsidP="000D4050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3</w:t>
            </w:r>
            <w:r w:rsidRPr="000D4050">
              <w:rPr>
                <w:vertAlign w:val="superscript"/>
              </w:rPr>
              <w:t>rd</w:t>
            </w:r>
            <w:r w:rsidRPr="002F6A28">
              <w:t xml:space="preserve"> quarter of 2019</w:t>
            </w:r>
            <w:bookmarkEnd w:id="28"/>
          </w:p>
          <w:p w:rsidR="00EE3A11" w:rsidRPr="002F6A28" w:rsidRDefault="00490DD4" w:rsidP="000D4050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 xml:space="preserve">20 days from publication in the Official Journal of the EU. Application of the restriction on the </w:t>
            </w:r>
            <w:r w:rsidRPr="002F6A28">
              <w:t>placing of the market of the articles would be deferred for 24 months after entry into force.</w:t>
            </w:r>
            <w:bookmarkEnd w:id="31"/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90DD4" w:rsidP="000D4050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3" w:name="sps12a"/>
            <w:bookmarkEnd w:id="33"/>
          </w:p>
        </w:tc>
      </w:tr>
      <w:tr w:rsidR="000A403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90DD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90DD4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 xml:space="preserve"> 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 xml:space="preserve">email and </w:t>
            </w:r>
            <w:r w:rsidRPr="002F6A28">
              <w:rPr>
                <w:b/>
              </w:rPr>
              <w:t>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490DD4" w:rsidRPr="00490DD4" w:rsidRDefault="00490DD4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FR"/>
              </w:rPr>
            </w:pPr>
            <w:proofErr w:type="spellStart"/>
            <w:r w:rsidRPr="00490DD4">
              <w:rPr>
                <w:lang w:val="fr-FR"/>
              </w:rPr>
              <w:t>European</w:t>
            </w:r>
            <w:proofErr w:type="spellEnd"/>
            <w:r w:rsidRPr="00490DD4">
              <w:rPr>
                <w:lang w:val="fr-FR"/>
              </w:rPr>
              <w:t xml:space="preserve"> Commission</w:t>
            </w:r>
            <w:r w:rsidRPr="00490DD4">
              <w:rPr>
                <w:lang w:val="fr-FR"/>
              </w:rPr>
              <w:br/>
              <w:t>EU-</w:t>
            </w:r>
            <w:proofErr w:type="spellStart"/>
            <w:r w:rsidRPr="00490DD4">
              <w:rPr>
                <w:lang w:val="fr-FR"/>
              </w:rPr>
              <w:t>TBT</w:t>
            </w:r>
            <w:proofErr w:type="spellEnd"/>
            <w:r w:rsidRPr="00490DD4">
              <w:rPr>
                <w:lang w:val="fr-FR"/>
              </w:rPr>
              <w:t xml:space="preserve"> </w:t>
            </w:r>
            <w:proofErr w:type="spellStart"/>
            <w:r w:rsidRPr="00490DD4">
              <w:rPr>
                <w:lang w:val="fr-FR"/>
              </w:rPr>
              <w:t>Enquiry</w:t>
            </w:r>
            <w:proofErr w:type="spellEnd"/>
            <w:r w:rsidRPr="00490DD4">
              <w:rPr>
                <w:lang w:val="fr-FR"/>
              </w:rPr>
              <w:t xml:space="preserve"> Point</w:t>
            </w:r>
            <w:r w:rsidRPr="00490DD4">
              <w:rPr>
                <w:lang w:val="fr-FR"/>
              </w:rPr>
              <w:br/>
              <w:t>Fax: + (32) 2 299 80 43</w:t>
            </w:r>
            <w:r w:rsidRPr="00490DD4">
              <w:rPr>
                <w:lang w:val="fr-FR"/>
              </w:rPr>
              <w:br/>
              <w:t xml:space="preserve">E-mail: </w:t>
            </w:r>
            <w:hyperlink r:id="rId11" w:history="1">
              <w:r w:rsidRPr="00490DD4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</w:p>
          <w:p w:rsidR="00490DD4" w:rsidRDefault="00490DD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bookmarkStart w:id="38" w:name="_GoBack"/>
          <w:bookmarkEnd w:id="38"/>
          <w:p w:rsidR="005A4AB6" w:rsidRPr="002F6A28" w:rsidRDefault="00490DD4" w:rsidP="00B16145">
            <w:pPr>
              <w:keepNext/>
              <w:keepLines/>
              <w:spacing w:before="120" w:after="120"/>
              <w:jc w:val="left"/>
            </w:pP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</w:instrText>
            </w:r>
            <w:r>
              <w:rPr>
                <w:color w:val="0000FF"/>
                <w:u w:val="single"/>
              </w:rPr>
              <w:instrText xml:space="preserve">tp://ec.europa.eu/growth/tools-databases/tbt/en/"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2F6A28">
              <w:rPr>
                <w:color w:val="0000FF"/>
                <w:u w:val="single"/>
              </w:rPr>
              <w:t>http://ec.europa.eu/growth/tools-databases/tbt/en/</w:t>
            </w:r>
            <w:r>
              <w:rPr>
                <w:color w:val="0000FF"/>
                <w:u w:val="single"/>
              </w:rPr>
              <w:fldChar w:fldCharType="end"/>
            </w:r>
          </w:p>
          <w:p w:rsidR="00700730" w:rsidRDefault="00490DD4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Pr="002F6A28">
                <w:rPr>
                  <w:color w:val="0000FF"/>
                  <w:u w:val="single"/>
                </w:rPr>
                <w:t>https://members.wto.org/crnattachments/2019/TBT/EEC/19_3906_01_e.pdf</w:t>
              </w:r>
            </w:hyperlink>
          </w:p>
          <w:p w:rsidR="005A4AB6" w:rsidRPr="002F6A28" w:rsidRDefault="00490DD4" w:rsidP="00700730">
            <w:pPr>
              <w:keepNext/>
              <w:keepLines/>
              <w:spacing w:before="120" w:after="120"/>
              <w:jc w:val="left"/>
            </w:pPr>
            <w:hyperlink r:id="rId13" w:history="1">
              <w:r w:rsidRPr="00E71596">
                <w:rPr>
                  <w:rStyle w:val="Lienhypertexte"/>
                </w:rPr>
                <w:t>https://members.wto.org/crnattachments/2019/TBT/EEC/19_3906_00_e.pdf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0D40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90DD4">
      <w:r>
        <w:separator/>
      </w:r>
    </w:p>
  </w:endnote>
  <w:endnote w:type="continuationSeparator" w:id="0">
    <w:p w:rsidR="00000000" w:rsidRDefault="0049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D4050" w:rsidRDefault="00490DD4" w:rsidP="000D405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D4050" w:rsidRDefault="00490DD4" w:rsidP="000D405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90DD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90DD4">
      <w:r>
        <w:separator/>
      </w:r>
    </w:p>
  </w:footnote>
  <w:footnote w:type="continuationSeparator" w:id="0">
    <w:p w:rsidR="00000000" w:rsidRDefault="0049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50" w:rsidRPr="000D4050" w:rsidRDefault="00490DD4" w:rsidP="000D40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050">
      <w:t>G/TBT/N/EU/668</w:t>
    </w:r>
  </w:p>
  <w:p w:rsidR="000D4050" w:rsidRPr="000D4050" w:rsidRDefault="000D4050" w:rsidP="000D40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4050" w:rsidRPr="000D4050" w:rsidRDefault="00490DD4" w:rsidP="000D40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050">
      <w:t xml:space="preserve">- </w:t>
    </w:r>
    <w:r w:rsidRPr="000D4050">
      <w:fldChar w:fldCharType="begin"/>
    </w:r>
    <w:r w:rsidRPr="000D4050">
      <w:instrText xml:space="preserve"> PAGE </w:instrText>
    </w:r>
    <w:r w:rsidRPr="000D4050">
      <w:fldChar w:fldCharType="separate"/>
    </w:r>
    <w:r w:rsidRPr="000D4050">
      <w:rPr>
        <w:noProof/>
      </w:rPr>
      <w:t>2</w:t>
    </w:r>
    <w:r w:rsidRPr="000D4050">
      <w:fldChar w:fldCharType="end"/>
    </w:r>
    <w:r w:rsidRPr="000D4050">
      <w:t xml:space="preserve"> -</w:t>
    </w:r>
  </w:p>
  <w:p w:rsidR="009239F7" w:rsidRPr="000D4050" w:rsidRDefault="009239F7" w:rsidP="000D405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050" w:rsidRPr="000D4050" w:rsidRDefault="00490DD4" w:rsidP="000D40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050">
      <w:t>G/TBT/N/EU/668</w:t>
    </w:r>
  </w:p>
  <w:p w:rsidR="000D4050" w:rsidRPr="000D4050" w:rsidRDefault="000D4050" w:rsidP="000D40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4050" w:rsidRPr="000D4050" w:rsidRDefault="00490DD4" w:rsidP="000D405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4050">
      <w:t xml:space="preserve">- </w:t>
    </w:r>
    <w:r w:rsidRPr="000D4050">
      <w:fldChar w:fldCharType="begin"/>
    </w:r>
    <w:r w:rsidRPr="000D4050">
      <w:instrText xml:space="preserve"> PAGE </w:instrText>
    </w:r>
    <w:r w:rsidRPr="000D4050">
      <w:fldChar w:fldCharType="separate"/>
    </w:r>
    <w:r w:rsidRPr="000D4050">
      <w:rPr>
        <w:noProof/>
      </w:rPr>
      <w:t>2</w:t>
    </w:r>
    <w:r w:rsidRPr="000D4050">
      <w:fldChar w:fldCharType="end"/>
    </w:r>
    <w:r w:rsidRPr="000D4050">
      <w:t xml:space="preserve"> -</w:t>
    </w:r>
  </w:p>
  <w:p w:rsidR="009239F7" w:rsidRPr="000D4050" w:rsidRDefault="009239F7" w:rsidP="000D405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403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90DD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9"/>
    <w:tr w:rsidR="000A403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490DD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18277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A403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4050" w:rsidRDefault="00490DD4" w:rsidP="00B801E9">
          <w:pPr>
            <w:jc w:val="right"/>
            <w:rPr>
              <w:b/>
              <w:szCs w:val="16"/>
            </w:rPr>
          </w:pPr>
          <w:bookmarkStart w:id="40" w:name="bmkSymbols"/>
          <w:r>
            <w:rPr>
              <w:b/>
              <w:szCs w:val="16"/>
            </w:rPr>
            <w:t>G/TBT/N/EU/668</w:t>
          </w:r>
          <w:bookmarkEnd w:id="40"/>
        </w:p>
      </w:tc>
    </w:tr>
    <w:tr w:rsidR="000A403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90DD4" w:rsidP="00B801E9">
          <w:pPr>
            <w:jc w:val="right"/>
            <w:rPr>
              <w:szCs w:val="16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6"/>
            </w:rPr>
            <w:t>12 July 2019</w:t>
          </w:r>
        </w:p>
      </w:tc>
    </w:tr>
    <w:tr w:rsidR="000A403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90DD4" w:rsidP="0097650D">
          <w:pPr>
            <w:jc w:val="left"/>
            <w:rPr>
              <w:b/>
            </w:rPr>
          </w:pPr>
          <w:bookmarkStart w:id="43" w:name="bmkSerial"/>
          <w:r w:rsidRPr="002F6A28">
            <w:rPr>
              <w:color w:val="FF0000"/>
              <w:szCs w:val="16"/>
            </w:rPr>
            <w:t>(</w:t>
          </w:r>
          <w:bookmarkStart w:id="44" w:name="spsSerialNumber"/>
          <w:bookmarkEnd w:id="44"/>
          <w:r>
            <w:rPr>
              <w:color w:val="FF0000"/>
              <w:szCs w:val="16"/>
            </w:rPr>
            <w:t>19-6884</w:t>
          </w:r>
          <w:r w:rsidRPr="002F6A28">
            <w:rPr>
              <w:color w:val="FF0000"/>
              <w:szCs w:val="16"/>
            </w:rPr>
            <w:t>)</w:t>
          </w:r>
          <w:bookmarkEnd w:id="4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90DD4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0A403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90DD4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90DD4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AEE2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1C19A8" w:tentative="1">
      <w:start w:val="1"/>
      <w:numFmt w:val="lowerLetter"/>
      <w:lvlText w:val="%2."/>
      <w:lvlJc w:val="left"/>
      <w:pPr>
        <w:ind w:left="1080" w:hanging="360"/>
      </w:pPr>
    </w:lvl>
    <w:lvl w:ilvl="2" w:tplc="C626218C" w:tentative="1">
      <w:start w:val="1"/>
      <w:numFmt w:val="lowerRoman"/>
      <w:lvlText w:val="%3."/>
      <w:lvlJc w:val="right"/>
      <w:pPr>
        <w:ind w:left="1800" w:hanging="180"/>
      </w:pPr>
    </w:lvl>
    <w:lvl w:ilvl="3" w:tplc="7A72DB50" w:tentative="1">
      <w:start w:val="1"/>
      <w:numFmt w:val="decimal"/>
      <w:lvlText w:val="%4."/>
      <w:lvlJc w:val="left"/>
      <w:pPr>
        <w:ind w:left="2520" w:hanging="360"/>
      </w:pPr>
    </w:lvl>
    <w:lvl w:ilvl="4" w:tplc="2A009718" w:tentative="1">
      <w:start w:val="1"/>
      <w:numFmt w:val="lowerLetter"/>
      <w:lvlText w:val="%5."/>
      <w:lvlJc w:val="left"/>
      <w:pPr>
        <w:ind w:left="3240" w:hanging="360"/>
      </w:pPr>
    </w:lvl>
    <w:lvl w:ilvl="5" w:tplc="FD32FA60" w:tentative="1">
      <w:start w:val="1"/>
      <w:numFmt w:val="lowerRoman"/>
      <w:lvlText w:val="%6."/>
      <w:lvlJc w:val="right"/>
      <w:pPr>
        <w:ind w:left="3960" w:hanging="180"/>
      </w:pPr>
    </w:lvl>
    <w:lvl w:ilvl="6" w:tplc="F6B05862" w:tentative="1">
      <w:start w:val="1"/>
      <w:numFmt w:val="decimal"/>
      <w:lvlText w:val="%7."/>
      <w:lvlJc w:val="left"/>
      <w:pPr>
        <w:ind w:left="4680" w:hanging="360"/>
      </w:pPr>
    </w:lvl>
    <w:lvl w:ilvl="7" w:tplc="3484F36A" w:tentative="1">
      <w:start w:val="1"/>
      <w:numFmt w:val="lowerLetter"/>
      <w:lvlText w:val="%8."/>
      <w:lvlJc w:val="left"/>
      <w:pPr>
        <w:ind w:left="5400" w:hanging="360"/>
      </w:pPr>
    </w:lvl>
    <w:lvl w:ilvl="8" w:tplc="E2F6BD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0BA86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C2A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80D0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A541C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B089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CA9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443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E87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AC5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036"/>
    <w:rsid w:val="000A4945"/>
    <w:rsid w:val="000A50C1"/>
    <w:rsid w:val="000A6875"/>
    <w:rsid w:val="000B31E1"/>
    <w:rsid w:val="000D4050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0DD4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AB6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0730"/>
    <w:rsid w:val="00711064"/>
    <w:rsid w:val="00713A8D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5226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1596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29A32"/>
  <w15:docId w15:val="{A83CC8CE-F565-4A96-9451-9602803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70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3906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19/TBT/EEC/19_3906_01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cha.europa.eu/previous-consultations-on-restriction-proposals/-/substance-rev/16119/ter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23064258789&amp;uri=CELEX:32006R190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2019-07-11T10:33:00Z</dcterms:created>
  <dcterms:modified xsi:type="dcterms:W3CDTF">2019-07-12T07:37:00Z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G/TBT/N/EU/668</vt:lpwstr>
  </property>
  <property fmtid="{D5CDD505-2E9C-101B-9397-08002B2CF9AE}" pid="3" name="TitusGUID">
    <vt:lpwstr>9b355b85-fa1f-4c9b-8c7f-2308405cfc71</vt:lpwstr>
  </property>
  <property fmtid="{D5CDD505-2E9C-101B-9397-08002B2CF9AE}" pid="4" name="WTOCLASSIFICATION">
    <vt:lpwstr>PUBLIC</vt:lpwstr>
  </property>
</Properties>
</file>