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1411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1411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1D245D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Egypt</w:t>
            </w:r>
            <w:bookmarkEnd w:id="1"/>
            <w:r w:rsidRPr="002F6A28">
              <w:t xml:space="preserve"> </w:t>
            </w:r>
          </w:p>
          <w:p w:rsidR="00F85C99" w:rsidRPr="002F6A28" w:rsidRDefault="0021411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F65DBE" w:rsidRPr="002F6A28" w:rsidRDefault="00214116" w:rsidP="00155128">
            <w:pPr>
              <w:spacing w:before="120" w:after="120"/>
              <w:jc w:val="left"/>
            </w:pPr>
            <w:r w:rsidRPr="002F6A28">
              <w:t xml:space="preserve">Egyptian Organization for Standardization and Quality </w:t>
            </w:r>
            <w:r w:rsidRPr="002F6A28">
              <w:br/>
              <w:t xml:space="preserve">16 Tadreeb El-Modarrebeen St., Ameriya, Cairo – Egypt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8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t xml:space="preserve"> </w:t>
            </w:r>
            <w:r w:rsidRPr="002F6A28">
              <w:br/>
              <w:t xml:space="preserve">Tel.: + (202) 22845528 </w:t>
            </w:r>
            <w:r w:rsidRPr="002F6A28">
              <w:br/>
              <w:t>Fax: + (202) 22845504</w:t>
            </w:r>
            <w:bookmarkEnd w:id="5"/>
          </w:p>
          <w:p w:rsidR="00F85C99" w:rsidRPr="002F6A28" w:rsidRDefault="0021411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1411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Incandescent lamps (ICS 29.140.20)</w:t>
            </w:r>
            <w:bookmarkStart w:id="20" w:name="sps3a"/>
            <w:bookmarkEnd w:id="20"/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of Egyptian standard ES 5048 for "Tungsten filament lamps for domestic and similar general lighting purposes". (99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standard specifies the safety and interchangeability requirements of tungsten filament incandescent lamps for general lighting service having:</w:t>
            </w:r>
          </w:p>
          <w:p w:rsidR="00FE448B" w:rsidRPr="00C379C8" w:rsidRDefault="00214116" w:rsidP="002F6A28">
            <w:pPr>
              <w:spacing w:after="120"/>
            </w:pPr>
            <w:r w:rsidRPr="00C379C8">
              <w:t>–</w:t>
            </w:r>
            <w:r>
              <w:tab/>
            </w:r>
            <w:r w:rsidRPr="00C379C8">
              <w:t>rated wattage up to and including 200 W;</w:t>
            </w:r>
          </w:p>
          <w:p w:rsidR="00FE448B" w:rsidRPr="00C379C8" w:rsidRDefault="00214116" w:rsidP="002F6A28">
            <w:pPr>
              <w:spacing w:after="120"/>
            </w:pPr>
            <w:r w:rsidRPr="00C379C8">
              <w:t>–</w:t>
            </w:r>
            <w:r>
              <w:tab/>
            </w:r>
            <w:r w:rsidRPr="00C379C8">
              <w:t>rated voltage of 50 V to 250 V inclusive;</w:t>
            </w:r>
          </w:p>
          <w:p w:rsidR="00FE448B" w:rsidRPr="00C379C8" w:rsidRDefault="00214116" w:rsidP="00214116">
            <w:pPr>
              <w:spacing w:after="120"/>
              <w:ind w:left="567" w:hanging="567"/>
            </w:pPr>
            <w:r w:rsidRPr="00C379C8">
              <w:t>–</w:t>
            </w:r>
            <w:r>
              <w:tab/>
            </w:r>
            <w:r w:rsidRPr="00C379C8">
              <w:t>bulbs of the A, B, C, G, M, P, PS, PAR or R shapes</w:t>
            </w:r>
            <w:r w:rsidRPr="00D27265">
              <w:rPr>
                <w:vertAlign w:val="superscript"/>
              </w:rPr>
              <w:t>*</w:t>
            </w:r>
            <w:r w:rsidRPr="00C379C8">
              <w:t>, or other bulb shapes where the lamps are intended to serve the same purpose as lamps with the foregoing bulb shapes;</w:t>
            </w:r>
          </w:p>
          <w:p w:rsidR="00FE448B" w:rsidRPr="00C379C8" w:rsidRDefault="00214116" w:rsidP="002F6A28">
            <w:pPr>
              <w:spacing w:after="120"/>
            </w:pPr>
            <w:r w:rsidRPr="00C379C8">
              <w:t>–</w:t>
            </w:r>
            <w:r>
              <w:tab/>
            </w:r>
            <w:r w:rsidRPr="00C379C8">
              <w:t>bulbs with all kinds of finishes;</w:t>
            </w:r>
          </w:p>
          <w:p w:rsidR="00FE448B" w:rsidRPr="00CA0C8F" w:rsidRDefault="00214116" w:rsidP="002F6A28">
            <w:pPr>
              <w:spacing w:after="120"/>
              <w:rPr>
                <w:lang w:val="es-ES"/>
              </w:rPr>
            </w:pPr>
            <w:r w:rsidRPr="00CA0C8F">
              <w:rPr>
                <w:lang w:val="es-ES"/>
              </w:rPr>
              <w:t>–</w:t>
            </w:r>
            <w:r>
              <w:rPr>
                <w:lang w:val="es-ES"/>
              </w:rPr>
              <w:tab/>
            </w:r>
            <w:proofErr w:type="spellStart"/>
            <w:r w:rsidRPr="00CA0C8F">
              <w:rPr>
                <w:lang w:val="es-ES"/>
              </w:rPr>
              <w:t>caps</w:t>
            </w:r>
            <w:proofErr w:type="spellEnd"/>
            <w:r w:rsidRPr="00CA0C8F">
              <w:rPr>
                <w:lang w:val="es-ES"/>
              </w:rPr>
              <w:t xml:space="preserve"> B15d, B22d, E12, E14, E17, E26</w:t>
            </w:r>
            <w:r w:rsidRPr="00D27265">
              <w:rPr>
                <w:vertAlign w:val="superscript"/>
                <w:lang w:val="es-ES"/>
              </w:rPr>
              <w:t>**</w:t>
            </w:r>
            <w:r w:rsidRPr="00CA0C8F">
              <w:rPr>
                <w:lang w:val="es-ES"/>
              </w:rPr>
              <w:t>, E26d, E26/50x39, E27 or E27/51x39.</w:t>
            </w:r>
          </w:p>
          <w:p w:rsidR="00FE448B" w:rsidRPr="00C379C8" w:rsidRDefault="00214116" w:rsidP="002F6A28">
            <w:pPr>
              <w:spacing w:after="120"/>
            </w:pPr>
            <w:r w:rsidRPr="00C379C8">
              <w:t>Worth mentioning is that this draft standard is technically identical with IEC</w:t>
            </w:r>
            <w:r w:rsidR="001416D4">
              <w:t> </w:t>
            </w:r>
            <w:r w:rsidRPr="00C379C8">
              <w:t>60432</w:t>
            </w:r>
            <w:r w:rsidR="001416D4">
              <w:noBreakHyphen/>
            </w:r>
            <w:r w:rsidRPr="00C379C8">
              <w:t>1:1999/AMD2:2011. </w:t>
            </w:r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Safety requirements and consumer protection</w:t>
            </w:r>
            <w:bookmarkStart w:id="27" w:name="sps7f"/>
            <w:bookmarkEnd w:id="27"/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CA0C8F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14116" w:rsidP="00CA0C8F">
            <w:pPr>
              <w:keepNext/>
              <w:keepLines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05BD8" w:rsidRPr="00F05BD8" w:rsidRDefault="00214116" w:rsidP="000546E1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 w:line="360" w:lineRule="auto"/>
              <w:ind w:left="714" w:hanging="357"/>
              <w:jc w:val="left"/>
            </w:pPr>
            <w:r w:rsidRPr="00CA0C8F">
              <w:rPr>
                <w:bCs/>
              </w:rPr>
              <w:t>Ministerial Decree No. 94/2006</w:t>
            </w:r>
          </w:p>
          <w:p w:rsidR="00F85C99" w:rsidRPr="002F6A28" w:rsidRDefault="00214116" w:rsidP="000546E1">
            <w:pPr>
              <w:pStyle w:val="Paragraphedeliste"/>
              <w:keepNext/>
              <w:keepLines/>
              <w:numPr>
                <w:ilvl w:val="0"/>
                <w:numId w:val="16"/>
              </w:numPr>
              <w:spacing w:before="120" w:after="120"/>
              <w:ind w:left="714" w:hanging="357"/>
              <w:jc w:val="left"/>
            </w:pPr>
            <w:r w:rsidRPr="00F05BD8">
              <w:rPr>
                <w:bCs/>
              </w:rPr>
              <w:t>IEC 60432-1:1999/AMD2:2011</w:t>
            </w:r>
          </w:p>
        </w:tc>
      </w:tr>
      <w:tr w:rsidR="001D245D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1411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1411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21411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1411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1D245D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1411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1411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F65DBE" w:rsidRPr="002F6A28" w:rsidRDefault="0021411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Egyptian Organization for Standardization and Quality Address: </w:t>
            </w:r>
            <w:r w:rsidRPr="002F6A28">
              <w:br/>
              <w:t>16 Tadreeb El-Modarrebeen St., Ameriya, Cairo - Egypt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eos@idsc.net.eg</w:t>
              </w:r>
            </w:hyperlink>
            <w:r w:rsidRPr="002F6A28">
              <w:t>/</w:t>
            </w:r>
            <w:hyperlink r:id="rId11" w:history="1">
              <w:r w:rsidRPr="002F6A28">
                <w:rPr>
                  <w:color w:val="0000FF"/>
                  <w:u w:val="single"/>
                </w:rPr>
                <w:t>eos.tbt@eos.org.eg</w:t>
              </w:r>
            </w:hyperlink>
            <w:r w:rsidRPr="002F6A28">
              <w:t xml:space="preserve"> </w:t>
            </w:r>
            <w:r w:rsidRPr="002F6A28">
              <w:br/>
              <w:t xml:space="preserve">Website: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http://www.eos.org.eg</w:t>
              </w:r>
            </w:hyperlink>
            <w:r w:rsidRPr="002F6A28">
              <w:t xml:space="preserve"> </w:t>
            </w:r>
            <w:r w:rsidRPr="002F6A28">
              <w:br/>
              <w:t>Tel: + (202) 22845528</w:t>
            </w:r>
            <w:r w:rsidRPr="002F6A28">
              <w:br/>
              <w:t xml:space="preserve">Fax: + (202) 22845504 </w:t>
            </w:r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9D7" w:rsidRDefault="00214116">
      <w:r>
        <w:separator/>
      </w:r>
    </w:p>
  </w:endnote>
  <w:endnote w:type="continuationSeparator" w:id="0">
    <w:p w:rsidR="006619D7" w:rsidRDefault="0021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1411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1411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1411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9D7" w:rsidRDefault="00214116">
      <w:r>
        <w:separator/>
      </w:r>
    </w:p>
  </w:footnote>
  <w:footnote w:type="continuationSeparator" w:id="0">
    <w:p w:rsidR="006619D7" w:rsidRDefault="0021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1411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1411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21411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G/TBT/N/EGY/225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21411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245D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1D245D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21411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346775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1D245D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21411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G/TBT/N/EGY/225</w:t>
          </w:r>
          <w:bookmarkEnd w:id="43"/>
        </w:p>
      </w:tc>
    </w:tr>
    <w:tr w:rsidR="001D245D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1411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17 September 2019</w:t>
          </w:r>
        </w:p>
      </w:tc>
    </w:tr>
    <w:tr w:rsidR="001D245D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1411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BC76FC">
            <w:rPr>
              <w:color w:val="FF0000"/>
              <w:szCs w:val="16"/>
            </w:rPr>
            <w:t>5943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1411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1D245D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21411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21411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11E8D"/>
    <w:multiLevelType w:val="hybridMultilevel"/>
    <w:tmpl w:val="5D70000A"/>
    <w:lvl w:ilvl="0" w:tplc="A2CE5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4C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7C47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EB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68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60E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82C0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8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9A9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297E1EB4"/>
    <w:numStyleLink w:val="LegalHeadings"/>
  </w:abstractNum>
  <w:abstractNum w:abstractNumId="13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4120B64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BC4535A" w:tentative="1">
      <w:start w:val="1"/>
      <w:numFmt w:val="lowerLetter"/>
      <w:lvlText w:val="%2."/>
      <w:lvlJc w:val="left"/>
      <w:pPr>
        <w:ind w:left="1080" w:hanging="360"/>
      </w:pPr>
    </w:lvl>
    <w:lvl w:ilvl="2" w:tplc="F9DABA9C" w:tentative="1">
      <w:start w:val="1"/>
      <w:numFmt w:val="lowerRoman"/>
      <w:lvlText w:val="%3."/>
      <w:lvlJc w:val="right"/>
      <w:pPr>
        <w:ind w:left="1800" w:hanging="180"/>
      </w:pPr>
    </w:lvl>
    <w:lvl w:ilvl="3" w:tplc="A352ECBA" w:tentative="1">
      <w:start w:val="1"/>
      <w:numFmt w:val="decimal"/>
      <w:lvlText w:val="%4."/>
      <w:lvlJc w:val="left"/>
      <w:pPr>
        <w:ind w:left="2520" w:hanging="360"/>
      </w:pPr>
    </w:lvl>
    <w:lvl w:ilvl="4" w:tplc="19BA4066" w:tentative="1">
      <w:start w:val="1"/>
      <w:numFmt w:val="lowerLetter"/>
      <w:lvlText w:val="%5."/>
      <w:lvlJc w:val="left"/>
      <w:pPr>
        <w:ind w:left="3240" w:hanging="360"/>
      </w:pPr>
    </w:lvl>
    <w:lvl w:ilvl="5" w:tplc="E702DEDA" w:tentative="1">
      <w:start w:val="1"/>
      <w:numFmt w:val="lowerRoman"/>
      <w:lvlText w:val="%6."/>
      <w:lvlJc w:val="right"/>
      <w:pPr>
        <w:ind w:left="3960" w:hanging="180"/>
      </w:pPr>
    </w:lvl>
    <w:lvl w:ilvl="6" w:tplc="DEFE45D6" w:tentative="1">
      <w:start w:val="1"/>
      <w:numFmt w:val="decimal"/>
      <w:lvlText w:val="%7."/>
      <w:lvlJc w:val="left"/>
      <w:pPr>
        <w:ind w:left="4680" w:hanging="360"/>
      </w:pPr>
    </w:lvl>
    <w:lvl w:ilvl="7" w:tplc="701A28F4" w:tentative="1">
      <w:start w:val="1"/>
      <w:numFmt w:val="lowerLetter"/>
      <w:lvlText w:val="%8."/>
      <w:lvlJc w:val="left"/>
      <w:pPr>
        <w:ind w:left="5400" w:hanging="360"/>
      </w:pPr>
    </w:lvl>
    <w:lvl w:ilvl="8" w:tplc="5FE425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546E1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416D4"/>
    <w:rsid w:val="00155128"/>
    <w:rsid w:val="001621F4"/>
    <w:rsid w:val="00182B84"/>
    <w:rsid w:val="0018646B"/>
    <w:rsid w:val="00186B9C"/>
    <w:rsid w:val="001A464A"/>
    <w:rsid w:val="001D245D"/>
    <w:rsid w:val="001E291F"/>
    <w:rsid w:val="00204CC3"/>
    <w:rsid w:val="00214116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1789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619D7"/>
    <w:rsid w:val="0066275B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46F27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3CFF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76FC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A0C8F"/>
    <w:rsid w:val="00CB4942"/>
    <w:rsid w:val="00CC0FAD"/>
    <w:rsid w:val="00CC3256"/>
    <w:rsid w:val="00CD7D97"/>
    <w:rsid w:val="00CE3EE6"/>
    <w:rsid w:val="00CE4BA1"/>
    <w:rsid w:val="00D000C7"/>
    <w:rsid w:val="00D27265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05BD8"/>
    <w:rsid w:val="00F263FA"/>
    <w:rsid w:val="00F32397"/>
    <w:rsid w:val="00F40595"/>
    <w:rsid w:val="00F650F7"/>
    <w:rsid w:val="00F65DBE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F80ED"/>
  <w15:docId w15:val="{F71E0F40-3D42-458D-A5AB-A119D247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.tbt@eos.org.e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os@idsc.net.eg" TargetMode="External"/><Relationship Id="rId12" Type="http://schemas.openxmlformats.org/officeDocument/2006/relationships/hyperlink" Target="http://www.eos.org.e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os.tbt@eos.org.e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os@idsc.net.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os.org.eg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10</cp:revision>
  <dcterms:created xsi:type="dcterms:W3CDTF">2019-09-16T15:18:00Z</dcterms:created>
  <dcterms:modified xsi:type="dcterms:W3CDTF">2019-09-17T12:42:00Z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