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0256A" w14:textId="77777777" w:rsidR="009239F7" w:rsidRPr="002F6A28" w:rsidRDefault="00607067" w:rsidP="002F6A28">
      <w:pPr>
        <w:pStyle w:val="Title"/>
        <w:rPr>
          <w:caps w:val="0"/>
          <w:kern w:val="0"/>
        </w:rPr>
      </w:pPr>
      <w:r w:rsidRPr="002F6A28">
        <w:rPr>
          <w:caps w:val="0"/>
          <w:kern w:val="0"/>
        </w:rPr>
        <w:t>NOTIFICATION</w:t>
      </w:r>
    </w:p>
    <w:p w14:paraId="01A83AEA" w14:textId="77777777" w:rsidR="009239F7" w:rsidRPr="002F6A28" w:rsidRDefault="00607067" w:rsidP="002F6A28">
      <w:pPr>
        <w:jc w:val="center"/>
      </w:pPr>
      <w:r w:rsidRPr="002F6A28">
        <w:t>The following notification is being circulated in accordance with Article 10.6</w:t>
      </w:r>
    </w:p>
    <w:p w14:paraId="2DE8C99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83596" w14:paraId="2260889F" w14:textId="77777777" w:rsidTr="0069259F">
        <w:tc>
          <w:tcPr>
            <w:tcW w:w="713" w:type="dxa"/>
            <w:tcBorders>
              <w:bottom w:val="single" w:sz="6" w:space="0" w:color="auto"/>
            </w:tcBorders>
            <w:shd w:val="clear" w:color="auto" w:fill="auto"/>
          </w:tcPr>
          <w:p w14:paraId="568ABAF6" w14:textId="77777777" w:rsidR="00F85C99" w:rsidRPr="002F6A28" w:rsidRDefault="00607067" w:rsidP="002F6A28">
            <w:pPr>
              <w:spacing w:before="120" w:after="120"/>
              <w:jc w:val="left"/>
            </w:pPr>
            <w:r w:rsidRPr="002F6A28">
              <w:rPr>
                <w:b/>
              </w:rPr>
              <w:t>1.</w:t>
            </w:r>
          </w:p>
        </w:tc>
        <w:tc>
          <w:tcPr>
            <w:tcW w:w="8546" w:type="dxa"/>
            <w:tcBorders>
              <w:bottom w:val="single" w:sz="6" w:space="0" w:color="auto"/>
            </w:tcBorders>
            <w:shd w:val="clear" w:color="auto" w:fill="auto"/>
          </w:tcPr>
          <w:p w14:paraId="2333668B" w14:textId="77777777" w:rsidR="00F85C99" w:rsidRPr="002F6A28" w:rsidRDefault="0060706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Denmark</w:t>
            </w:r>
            <w:bookmarkEnd w:id="1"/>
            <w:r w:rsidRPr="002F6A28">
              <w:t xml:space="preserve"> </w:t>
            </w:r>
          </w:p>
          <w:p w14:paraId="05F1A556" w14:textId="77777777" w:rsidR="00F85C99" w:rsidRPr="002F6A28" w:rsidRDefault="0060706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83596" w14:paraId="60631B45" w14:textId="77777777" w:rsidTr="0069259F">
        <w:tc>
          <w:tcPr>
            <w:tcW w:w="713" w:type="dxa"/>
            <w:tcBorders>
              <w:top w:val="single" w:sz="6" w:space="0" w:color="auto"/>
              <w:bottom w:val="single" w:sz="6" w:space="0" w:color="auto"/>
            </w:tcBorders>
            <w:shd w:val="clear" w:color="auto" w:fill="auto"/>
          </w:tcPr>
          <w:p w14:paraId="6C65EDF6" w14:textId="77777777" w:rsidR="00F85C99" w:rsidRPr="002F6A28" w:rsidRDefault="0060706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D66EB08" w14:textId="77777777" w:rsidR="00F85C99" w:rsidRPr="002F6A28" w:rsidRDefault="0060706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05364B5" w14:textId="77777777" w:rsidR="009079F5" w:rsidRPr="002F6A28" w:rsidRDefault="00607067" w:rsidP="00155128">
            <w:pPr>
              <w:spacing w:before="120" w:after="120"/>
              <w:jc w:val="left"/>
            </w:pPr>
            <w:r w:rsidRPr="002F6A28">
              <w:t>Ministry of Food and Environment</w:t>
            </w:r>
            <w:r w:rsidRPr="002F6A28">
              <w:br/>
              <w:t>Webaddress: Mfvm.dk</w:t>
            </w:r>
            <w:r w:rsidRPr="002F6A28">
              <w:br/>
              <w:t xml:space="preserve">Slotsholmsgade 12 1216 København K </w:t>
            </w:r>
            <w:r w:rsidRPr="002F6A28">
              <w:br/>
              <w:t>T</w:t>
            </w:r>
            <w:r w:rsidR="00CE35A8">
              <w:t>el</w:t>
            </w:r>
            <w:r w:rsidRPr="002F6A28">
              <w:t xml:space="preserve">: +45 38 14 21 42 </w:t>
            </w:r>
            <w:r w:rsidRPr="002F6A28">
              <w:br/>
              <w:t xml:space="preserve">Email: </w:t>
            </w:r>
            <w:hyperlink r:id="rId7" w:history="1">
              <w:r w:rsidRPr="002F6A28">
                <w:rPr>
                  <w:color w:val="0000FF"/>
                  <w:u w:val="single"/>
                </w:rPr>
                <w:t>mfvm@mfvm.dk</w:t>
              </w:r>
            </w:hyperlink>
            <w:bookmarkEnd w:id="5"/>
          </w:p>
          <w:p w14:paraId="6A4B1C37" w14:textId="77777777" w:rsidR="00F85C99" w:rsidRPr="002F6A28" w:rsidRDefault="0060706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E86471D" w14:textId="77777777" w:rsidR="009079F5" w:rsidRPr="002F6A28" w:rsidRDefault="00607067" w:rsidP="00AA646C">
            <w:pPr>
              <w:spacing w:after="120"/>
              <w:jc w:val="left"/>
            </w:pPr>
            <w:r w:rsidRPr="002F6A28">
              <w:t>Ministry of Food and Environment</w:t>
            </w:r>
            <w:r w:rsidRPr="002F6A28">
              <w:br/>
              <w:t>Webaddress: Mfvm.dk</w:t>
            </w:r>
            <w:r w:rsidRPr="002F6A28">
              <w:br/>
              <w:t xml:space="preserve">Slotsholmsgade 12 1216 København K </w:t>
            </w:r>
            <w:r w:rsidRPr="002F6A28">
              <w:br/>
              <w:t>T</w:t>
            </w:r>
            <w:r w:rsidR="00CE35A8">
              <w:t>el</w:t>
            </w:r>
            <w:r w:rsidRPr="002F6A28">
              <w:t xml:space="preserve">: +45 38 14 21 42 </w:t>
            </w:r>
            <w:r w:rsidRPr="002F6A28">
              <w:br/>
              <w:t xml:space="preserve">Email: </w:t>
            </w:r>
            <w:hyperlink r:id="rId8" w:history="1">
              <w:r w:rsidRPr="002F6A28">
                <w:rPr>
                  <w:color w:val="0000FF"/>
                  <w:u w:val="single"/>
                </w:rPr>
                <w:t>mfvm@mfvm.dk</w:t>
              </w:r>
            </w:hyperlink>
            <w:bookmarkEnd w:id="7"/>
          </w:p>
        </w:tc>
      </w:tr>
      <w:tr w:rsidR="00483596" w14:paraId="08202F62" w14:textId="77777777" w:rsidTr="0069259F">
        <w:tc>
          <w:tcPr>
            <w:tcW w:w="713" w:type="dxa"/>
            <w:tcBorders>
              <w:top w:val="single" w:sz="6" w:space="0" w:color="auto"/>
              <w:bottom w:val="single" w:sz="6" w:space="0" w:color="auto"/>
            </w:tcBorders>
            <w:shd w:val="clear" w:color="auto" w:fill="auto"/>
          </w:tcPr>
          <w:p w14:paraId="551A09F2" w14:textId="77777777" w:rsidR="00F85C99" w:rsidRPr="002F6A28" w:rsidRDefault="0060706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2FC679F" w14:textId="77777777" w:rsidR="00F85C99" w:rsidRPr="0058336F" w:rsidRDefault="0060706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83596" w14:paraId="7B93443F" w14:textId="77777777" w:rsidTr="0069259F">
        <w:tc>
          <w:tcPr>
            <w:tcW w:w="713" w:type="dxa"/>
            <w:tcBorders>
              <w:top w:val="single" w:sz="6" w:space="0" w:color="auto"/>
              <w:bottom w:val="single" w:sz="6" w:space="0" w:color="auto"/>
            </w:tcBorders>
            <w:shd w:val="clear" w:color="auto" w:fill="auto"/>
          </w:tcPr>
          <w:p w14:paraId="55C6764D" w14:textId="77777777" w:rsidR="00F85C99" w:rsidRPr="002F6A28" w:rsidRDefault="0060706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9B54E8D" w14:textId="77777777" w:rsidR="00F85C99" w:rsidRPr="002F6A28" w:rsidRDefault="0060706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No particular product-code, as the rules cover a multitude of pesticides and biocides.</w:t>
            </w:r>
            <w:bookmarkStart w:id="20" w:name="sps3a"/>
            <w:bookmarkEnd w:id="20"/>
          </w:p>
        </w:tc>
      </w:tr>
      <w:tr w:rsidR="00483596" w14:paraId="339B9E1D" w14:textId="77777777" w:rsidTr="0069259F">
        <w:tc>
          <w:tcPr>
            <w:tcW w:w="713" w:type="dxa"/>
            <w:tcBorders>
              <w:top w:val="single" w:sz="6" w:space="0" w:color="auto"/>
              <w:bottom w:val="single" w:sz="6" w:space="0" w:color="auto"/>
            </w:tcBorders>
            <w:shd w:val="clear" w:color="auto" w:fill="auto"/>
          </w:tcPr>
          <w:p w14:paraId="5BAE1A99" w14:textId="77777777" w:rsidR="00F85C99" w:rsidRPr="002F6A28" w:rsidRDefault="0060706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13F4735" w14:textId="77777777" w:rsidR="00F85C99" w:rsidRPr="002F6A28" w:rsidRDefault="0060706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Bekendtgørelse om bekæmpelsesmidler</w:t>
            </w:r>
            <w:bookmarkStart w:id="22" w:name="sps5a"/>
            <w:bookmarkStart w:id="23" w:name="sps5c"/>
            <w:bookmarkStart w:id="24" w:name="sps5b"/>
            <w:bookmarkEnd w:id="22"/>
            <w:bookmarkEnd w:id="23"/>
            <w:bookmarkEnd w:id="24"/>
          </w:p>
        </w:tc>
      </w:tr>
      <w:tr w:rsidR="00483596" w14:paraId="6EB475E2" w14:textId="77777777" w:rsidTr="0069259F">
        <w:tc>
          <w:tcPr>
            <w:tcW w:w="713" w:type="dxa"/>
            <w:tcBorders>
              <w:top w:val="single" w:sz="6" w:space="0" w:color="auto"/>
              <w:bottom w:val="single" w:sz="6" w:space="0" w:color="auto"/>
            </w:tcBorders>
            <w:shd w:val="clear" w:color="auto" w:fill="auto"/>
          </w:tcPr>
          <w:p w14:paraId="740D7A8D" w14:textId="77777777" w:rsidR="00F85C99" w:rsidRPr="002F6A28" w:rsidRDefault="0060706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4236005" w14:textId="77777777" w:rsidR="00F473F2" w:rsidRDefault="00607067" w:rsidP="00F473F2">
            <w:pPr>
              <w:spacing w:before="120" w:after="120"/>
            </w:pPr>
            <w:bookmarkStart w:id="25" w:name="X_TBT_Reg_6A"/>
            <w:r w:rsidRPr="002F6A28">
              <w:rPr>
                <w:b/>
              </w:rPr>
              <w:t>Description of content</w:t>
            </w:r>
            <w:bookmarkEnd w:id="25"/>
            <w:r w:rsidRPr="002F6A28">
              <w:rPr>
                <w:b/>
              </w:rPr>
              <w:t>:</w:t>
            </w:r>
            <w:r w:rsidR="00FE448B" w:rsidRPr="00C379C8">
              <w:t xml:space="preserve"> A ban on selling concentrated pesticides and biocides to private individuals is introduced. In future, non-professionals may only use pesticides that are sold as ready-to-use or are low-risk agents. The amendment replaces a requirement that concentrated pesticides must be stored behind locks.</w:t>
            </w:r>
          </w:p>
          <w:p w14:paraId="1C276FC4" w14:textId="77777777" w:rsidR="00F473F2" w:rsidRDefault="00607067" w:rsidP="00F473F2">
            <w:pPr>
              <w:spacing w:before="120" w:after="120"/>
            </w:pPr>
            <w:r w:rsidRPr="00C379C8">
              <w:t>The storage regulations, which currently regulate toxic and highly toxic pesticides as well as pesticides with safety phrase P 405, are extended to pesticides with serious long-term effects, which are pesticides with CMR substances.</w:t>
            </w:r>
          </w:p>
          <w:p w14:paraId="2FF784C7" w14:textId="77777777" w:rsidR="00F473F2" w:rsidRDefault="00607067" w:rsidP="00F473F2">
            <w:pPr>
              <w:spacing w:before="120" w:after="120"/>
            </w:pPr>
            <w:r w:rsidRPr="00C379C8">
              <w:t>The rules that toxic and highly toxic pesticides must not be used in private gardens and in other outdoor areas that are publicly available or for the treatment of plantings in public roads or in private gardens are extended to pesticides and biocides with serious long-term effects, meaning they contain CMR substances. The rules have been like this before, so they are changed back to how it was in 2011, as the subsequent changes in the definition have created uncertainty about the rules.</w:t>
            </w:r>
          </w:p>
          <w:p w14:paraId="45AD8036" w14:textId="77777777" w:rsidR="00F473F2" w:rsidRDefault="00607067" w:rsidP="00F473F2">
            <w:pPr>
              <w:spacing w:before="120" w:after="120"/>
            </w:pPr>
            <w:r w:rsidRPr="00C379C8">
              <w:lastRenderedPageBreak/>
              <w:t>A new section 45 on the publication of harmonized risk indicators and a new reference for the establishment of harmonized risk indicators is inserted in the EU note at the bottom of the notice.</w:t>
            </w:r>
          </w:p>
          <w:p w14:paraId="2C1C811E" w14:textId="77777777" w:rsidR="00F473F2" w:rsidRDefault="00607067" w:rsidP="00F473F2">
            <w:pPr>
              <w:spacing w:before="120" w:after="120"/>
            </w:pPr>
            <w:r>
              <w:t>T</w:t>
            </w:r>
            <w:r w:rsidR="00FE448B" w:rsidRPr="00C379C8">
              <w:t>he exertion of rat control is punishable, without an authorization. It is not new. The revision is done solely to ensure that the Danish authorities can now use the proper referral when enforcing.</w:t>
            </w:r>
          </w:p>
          <w:p w14:paraId="5C922C25" w14:textId="77777777" w:rsidR="00F85C99" w:rsidRPr="002F6A28" w:rsidRDefault="00607067" w:rsidP="00F473F2">
            <w:pPr>
              <w:spacing w:before="120" w:after="120"/>
              <w:rPr>
                <w:b/>
              </w:rPr>
            </w:pPr>
            <w:r w:rsidRPr="00C379C8">
              <w:t>The fee rates for applications received by 15 January 2020 have been updated. There are not expected to be any consequences for either the public or the business community, because these are price and wage adjustments based on the calculations of tariffs.</w:t>
            </w:r>
          </w:p>
        </w:tc>
      </w:tr>
      <w:tr w:rsidR="00483596" w14:paraId="32CE4A1F" w14:textId="77777777" w:rsidTr="0069259F">
        <w:tc>
          <w:tcPr>
            <w:tcW w:w="713" w:type="dxa"/>
            <w:tcBorders>
              <w:top w:val="single" w:sz="6" w:space="0" w:color="auto"/>
              <w:bottom w:val="single" w:sz="6" w:space="0" w:color="auto"/>
            </w:tcBorders>
            <w:shd w:val="clear" w:color="auto" w:fill="auto"/>
          </w:tcPr>
          <w:p w14:paraId="1C1B5544" w14:textId="77777777" w:rsidR="00F85C99" w:rsidRPr="002F6A28" w:rsidRDefault="00607067"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5FA2D669" w14:textId="77777777" w:rsidR="00F473F2" w:rsidRDefault="00607067" w:rsidP="00F473F2">
            <w:pPr>
              <w:spacing w:before="120" w:after="120"/>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proposal will have positive effects on the environment and health. When prohibiting the sale of concentrated pesticides, users do not risk wastage and misdosing, and there is thus a less environmental risk associated with the private users' use of pesticides. Therefore, it is considered positive, that in future private individuals may only buy and use pesticides sold as ready-to-use or low-risk agents.</w:t>
            </w:r>
          </w:p>
          <w:p w14:paraId="050869A4" w14:textId="77777777" w:rsidR="00F473F2" w:rsidRDefault="00607067" w:rsidP="00F473F2">
            <w:pPr>
              <w:spacing w:before="120" w:after="120"/>
            </w:pPr>
            <w:r w:rsidRPr="00C379C8">
              <w:t>Removing the requirement for storing concentrated pesticides behind the counter will help the stores. They will still have the same or higher earnings on ready-to-own funds.</w:t>
            </w:r>
          </w:p>
          <w:p w14:paraId="2EC976D8" w14:textId="77777777" w:rsidR="00F473F2" w:rsidRDefault="00607067" w:rsidP="00F473F2">
            <w:pPr>
              <w:spacing w:before="120" w:after="120"/>
            </w:pPr>
            <w:r w:rsidRPr="00C379C8">
              <w:t>Private citizens will still be able to use ready-to-use pesticides and certain concentrated agents, so they will still have the opportunity to fight weeds and more.</w:t>
            </w:r>
          </w:p>
          <w:p w14:paraId="01E11424" w14:textId="77777777" w:rsidR="00F85C99" w:rsidRPr="002F6A28" w:rsidRDefault="00607067" w:rsidP="00F473F2">
            <w:pPr>
              <w:spacing w:before="120" w:after="120"/>
              <w:rPr>
                <w:b/>
              </w:rPr>
            </w:pPr>
            <w:r w:rsidRPr="00C379C8">
              <w:t xml:space="preserve">It is considered to be positive for health that pesticides with serious long-term effects are maintained and expanded. These types of agents contain substances that can cause cancer, damage inheritance or cause damage to the fetus and/or human fertility (CMR) and are considered particularly problematic. They meet the exclusion criteria of the Biocidal and Pesticide Regulations; </w:t>
            </w:r>
            <w:r w:rsidR="00F473F2">
              <w:t>Ot</w:t>
            </w:r>
            <w:r w:rsidRPr="00C379C8">
              <w:t>her</w:t>
            </w:r>
            <w:bookmarkStart w:id="27" w:name="sps7f"/>
            <w:bookmarkEnd w:id="27"/>
          </w:p>
        </w:tc>
      </w:tr>
      <w:tr w:rsidR="00483596" w14:paraId="262B7C4A" w14:textId="77777777" w:rsidTr="0069259F">
        <w:tc>
          <w:tcPr>
            <w:tcW w:w="713" w:type="dxa"/>
            <w:tcBorders>
              <w:top w:val="single" w:sz="6" w:space="0" w:color="auto"/>
              <w:bottom w:val="single" w:sz="6" w:space="0" w:color="auto"/>
            </w:tcBorders>
            <w:shd w:val="clear" w:color="auto" w:fill="auto"/>
          </w:tcPr>
          <w:p w14:paraId="2EFE6513" w14:textId="77777777" w:rsidR="00F85C99" w:rsidRPr="002F6A28" w:rsidRDefault="0060706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0786443" w14:textId="77777777" w:rsidR="00072B36" w:rsidRPr="002F6A28" w:rsidRDefault="00607067"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55AB60CA" w14:textId="77777777" w:rsidR="009079F5" w:rsidRPr="002F6A28" w:rsidRDefault="00607067" w:rsidP="0092459E">
            <w:pPr>
              <w:numPr>
                <w:ilvl w:val="0"/>
                <w:numId w:val="16"/>
              </w:numPr>
              <w:spacing w:before="120" w:after="120"/>
              <w:rPr>
                <w:bCs/>
              </w:rPr>
            </w:pPr>
            <w:r w:rsidRPr="002F6A28">
              <w:rPr>
                <w:bCs/>
              </w:rPr>
              <w:t>Bekendtgørelse om bekæmpelsesmidler</w:t>
            </w:r>
          </w:p>
          <w:p w14:paraId="2AAD085D" w14:textId="77777777" w:rsidR="009079F5" w:rsidRPr="002F6A28" w:rsidRDefault="00607067" w:rsidP="0092459E">
            <w:pPr>
              <w:numPr>
                <w:ilvl w:val="0"/>
                <w:numId w:val="16"/>
              </w:numPr>
              <w:spacing w:before="120" w:after="120"/>
              <w:rPr>
                <w:bCs/>
              </w:rPr>
            </w:pPr>
            <w:r w:rsidRPr="002F6A28">
              <w:rPr>
                <w:bCs/>
              </w:rPr>
              <w:t>Kemikalieloven</w:t>
            </w:r>
          </w:p>
          <w:p w14:paraId="4B26AF9A" w14:textId="77777777" w:rsidR="009079F5" w:rsidRPr="002F6A28" w:rsidRDefault="00607067" w:rsidP="0092459E">
            <w:pPr>
              <w:numPr>
                <w:ilvl w:val="0"/>
                <w:numId w:val="16"/>
              </w:numPr>
              <w:spacing w:before="120" w:after="120"/>
              <w:rPr>
                <w:bCs/>
              </w:rPr>
            </w:pPr>
            <w:r w:rsidRPr="002F6A28">
              <w:rPr>
                <w:bCs/>
              </w:rPr>
              <w:t>Directive 2009/128/EC of the European parliament and of the Council of 21</w:t>
            </w:r>
            <w:r>
              <w:rPr>
                <w:bCs/>
              </w:rPr>
              <w:t> </w:t>
            </w:r>
            <w:r w:rsidRPr="002F6A28">
              <w:rPr>
                <w:bCs/>
              </w:rPr>
              <w:t>October 2009 establishing a framework for Community action to achieve the sustainable use of pesticides</w:t>
            </w:r>
          </w:p>
        </w:tc>
      </w:tr>
      <w:tr w:rsidR="00483596" w14:paraId="1299B788" w14:textId="77777777" w:rsidTr="00AE6CC8">
        <w:trPr>
          <w:cantSplit/>
        </w:trPr>
        <w:tc>
          <w:tcPr>
            <w:tcW w:w="713" w:type="dxa"/>
            <w:tcBorders>
              <w:top w:val="single" w:sz="6" w:space="0" w:color="auto"/>
              <w:bottom w:val="single" w:sz="6" w:space="0" w:color="auto"/>
            </w:tcBorders>
            <w:shd w:val="clear" w:color="auto" w:fill="auto"/>
          </w:tcPr>
          <w:p w14:paraId="6D4BF873" w14:textId="77777777" w:rsidR="00EE3A11" w:rsidRPr="002F6A28" w:rsidRDefault="0060706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6873E41" w14:textId="77777777" w:rsidR="00EE3A11" w:rsidRPr="002F6A28" w:rsidRDefault="00607067" w:rsidP="008953C4">
            <w:pPr>
              <w:spacing w:before="120" w:after="120"/>
            </w:pPr>
            <w:bookmarkStart w:id="29" w:name="X_TBT_Reg_9A"/>
            <w:r w:rsidRPr="002F6A28">
              <w:rPr>
                <w:b/>
              </w:rPr>
              <w:t>Proposed date of adoption</w:t>
            </w:r>
            <w:bookmarkEnd w:id="29"/>
            <w:r w:rsidRPr="002F6A28">
              <w:rPr>
                <w:b/>
              </w:rPr>
              <w:t>:</w:t>
            </w:r>
            <w:r w:rsidRPr="00C379C8">
              <w:t xml:space="preserve"> 28 October 2020</w:t>
            </w:r>
            <w:bookmarkStart w:id="30" w:name="sps10a"/>
            <w:bookmarkStart w:id="31" w:name="sps10b"/>
            <w:bookmarkEnd w:id="30"/>
            <w:bookmarkEnd w:id="31"/>
          </w:p>
          <w:p w14:paraId="5D6BFB6F" w14:textId="77777777" w:rsidR="00EE3A11" w:rsidRPr="002F6A28" w:rsidRDefault="00607067" w:rsidP="008953C4">
            <w:pPr>
              <w:spacing w:after="120"/>
            </w:pPr>
            <w:bookmarkStart w:id="32" w:name="X_TBT_Reg_9B"/>
            <w:r w:rsidRPr="002F6A28">
              <w:rPr>
                <w:b/>
              </w:rPr>
              <w:t>Proposed date of entry into force</w:t>
            </w:r>
            <w:bookmarkEnd w:id="32"/>
            <w:r w:rsidRPr="002F6A28">
              <w:rPr>
                <w:b/>
              </w:rPr>
              <w:t>:</w:t>
            </w:r>
            <w:r w:rsidRPr="00C379C8">
              <w:t xml:space="preserve"> 1 November 2020</w:t>
            </w:r>
            <w:bookmarkStart w:id="33" w:name="sps11a"/>
            <w:bookmarkStart w:id="34" w:name="sps11b"/>
            <w:bookmarkEnd w:id="33"/>
            <w:bookmarkEnd w:id="34"/>
          </w:p>
        </w:tc>
      </w:tr>
      <w:tr w:rsidR="00483596" w14:paraId="6CB414E0" w14:textId="77777777" w:rsidTr="0069259F">
        <w:tc>
          <w:tcPr>
            <w:tcW w:w="713" w:type="dxa"/>
            <w:tcBorders>
              <w:top w:val="single" w:sz="6" w:space="0" w:color="auto"/>
              <w:bottom w:val="single" w:sz="6" w:space="0" w:color="auto"/>
            </w:tcBorders>
            <w:shd w:val="clear" w:color="auto" w:fill="auto"/>
          </w:tcPr>
          <w:p w14:paraId="2E228698" w14:textId="77777777" w:rsidR="00F85C99" w:rsidRPr="002F6A28" w:rsidRDefault="0060706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D9232CE" w14:textId="77777777" w:rsidR="00F85C99" w:rsidRPr="002F6A28" w:rsidRDefault="00607067" w:rsidP="002F6A28">
            <w:pPr>
              <w:spacing w:before="120" w:after="120"/>
            </w:pPr>
            <w:bookmarkStart w:id="35" w:name="X_TBT_Reg_10A"/>
            <w:r w:rsidRPr="002F6A28">
              <w:rPr>
                <w:b/>
              </w:rPr>
              <w:t>Final date for comments</w:t>
            </w:r>
            <w:bookmarkEnd w:id="35"/>
            <w:r w:rsidRPr="002F6A28">
              <w:rPr>
                <w:b/>
              </w:rPr>
              <w:t>:</w:t>
            </w:r>
            <w:r w:rsidR="00EE3A11" w:rsidRPr="00C379C8">
              <w:t xml:space="preserve"> 21 October 2020</w:t>
            </w:r>
            <w:bookmarkStart w:id="36" w:name="sps12a"/>
            <w:bookmarkEnd w:id="36"/>
          </w:p>
        </w:tc>
      </w:tr>
      <w:tr w:rsidR="00483596" w14:paraId="6E0A5C41" w14:textId="77777777" w:rsidTr="0069259F">
        <w:tc>
          <w:tcPr>
            <w:tcW w:w="713" w:type="dxa"/>
            <w:tcBorders>
              <w:top w:val="single" w:sz="6" w:space="0" w:color="auto"/>
            </w:tcBorders>
            <w:shd w:val="clear" w:color="auto" w:fill="auto"/>
          </w:tcPr>
          <w:p w14:paraId="5391C1F2" w14:textId="77777777" w:rsidR="00F85C99" w:rsidRPr="002F6A28" w:rsidRDefault="0060706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9CA4266" w14:textId="77777777" w:rsidR="00F85C99" w:rsidRPr="002F6A28" w:rsidRDefault="0060706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F620297" w14:textId="77777777" w:rsidR="009079F5" w:rsidRPr="002F6A28" w:rsidRDefault="00607067" w:rsidP="00B16145">
            <w:pPr>
              <w:keepNext/>
              <w:keepLines/>
              <w:spacing w:before="120" w:after="120"/>
              <w:jc w:val="left"/>
            </w:pPr>
            <w:r w:rsidRPr="002F6A28">
              <w:t xml:space="preserve">Danish Standards </w:t>
            </w:r>
            <w:r w:rsidRPr="002F6A28">
              <w:br/>
              <w:t>Göteborg Plads 1</w:t>
            </w:r>
            <w:r w:rsidRPr="002F6A28">
              <w:br/>
              <w:t xml:space="preserve">Nordhavn </w:t>
            </w:r>
            <w:r w:rsidRPr="002F6A28">
              <w:br/>
              <w:t xml:space="preserve">DK-2150 </w:t>
            </w:r>
            <w:r w:rsidRPr="002F6A28">
              <w:br/>
              <w:t xml:space="preserve">+ (45) 39 96 61 40 </w:t>
            </w:r>
            <w:r w:rsidRPr="002F6A28">
              <w:br/>
              <w:t>+ (45) 39 96 61 01 (Fax)</w:t>
            </w:r>
            <w:r w:rsidRPr="002F6A28">
              <w:br/>
            </w:r>
            <w:hyperlink r:id="rId9" w:history="1">
              <w:r w:rsidRPr="002F6A28">
                <w:rPr>
                  <w:color w:val="0000FF"/>
                  <w:u w:val="single"/>
                </w:rPr>
                <w:t>wto@ds.dk</w:t>
              </w:r>
            </w:hyperlink>
            <w:r w:rsidRPr="002F6A28">
              <w:br/>
            </w:r>
            <w:hyperlink r:id="rId10" w:history="1">
              <w:r w:rsidRPr="002F6A28">
                <w:rPr>
                  <w:color w:val="0000FF"/>
                  <w:u w:val="single"/>
                </w:rPr>
                <w:t>http://www.ds.dk</w:t>
              </w:r>
            </w:hyperlink>
            <w:bookmarkEnd w:id="40"/>
          </w:p>
        </w:tc>
      </w:tr>
    </w:tbl>
    <w:p w14:paraId="1E821E21"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B3585" w14:textId="77777777" w:rsidR="00E3156A" w:rsidRDefault="00607067">
      <w:r>
        <w:separator/>
      </w:r>
    </w:p>
  </w:endnote>
  <w:endnote w:type="continuationSeparator" w:id="0">
    <w:p w14:paraId="3FAE7386" w14:textId="77777777" w:rsidR="00E3156A" w:rsidRDefault="0060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FB44" w14:textId="77777777" w:rsidR="009239F7" w:rsidRPr="002F6A28" w:rsidRDefault="0060706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1294" w14:textId="77777777" w:rsidR="009239F7" w:rsidRPr="002F6A28" w:rsidRDefault="0060706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EC76" w14:textId="77777777" w:rsidR="00EE3A11" w:rsidRPr="002F6A28" w:rsidRDefault="0060706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007E5" w14:textId="77777777" w:rsidR="00E3156A" w:rsidRDefault="00607067">
      <w:r>
        <w:separator/>
      </w:r>
    </w:p>
  </w:footnote>
  <w:footnote w:type="continuationSeparator" w:id="0">
    <w:p w14:paraId="1B54A795" w14:textId="77777777" w:rsidR="00E3156A" w:rsidRDefault="00607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BC04" w14:textId="77777777" w:rsidR="009239F7" w:rsidRPr="002F6A28" w:rsidRDefault="00607067" w:rsidP="009239F7">
    <w:pPr>
      <w:pStyle w:val="Header"/>
      <w:pBdr>
        <w:bottom w:val="single" w:sz="4" w:space="1" w:color="auto"/>
      </w:pBdr>
      <w:tabs>
        <w:tab w:val="clear" w:pos="4513"/>
        <w:tab w:val="clear" w:pos="9027"/>
      </w:tabs>
      <w:jc w:val="center"/>
    </w:pPr>
    <w:r w:rsidRPr="002F6A28">
      <w:t>tbtSymbol</w:t>
    </w:r>
  </w:p>
  <w:p w14:paraId="4AC6D027" w14:textId="77777777" w:rsidR="009239F7" w:rsidRPr="002F6A28" w:rsidRDefault="009239F7" w:rsidP="009239F7">
    <w:pPr>
      <w:pStyle w:val="Header"/>
      <w:pBdr>
        <w:bottom w:val="single" w:sz="4" w:space="1" w:color="auto"/>
      </w:pBdr>
      <w:tabs>
        <w:tab w:val="clear" w:pos="4513"/>
        <w:tab w:val="clear" w:pos="9027"/>
      </w:tabs>
      <w:jc w:val="center"/>
    </w:pPr>
  </w:p>
  <w:p w14:paraId="482C34D2" w14:textId="77777777" w:rsidR="009239F7" w:rsidRPr="002F6A28" w:rsidRDefault="0060706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2F32F2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F1F5" w14:textId="77777777" w:rsidR="009239F7" w:rsidRPr="002F6A28" w:rsidRDefault="00607067" w:rsidP="009239F7">
    <w:pPr>
      <w:pStyle w:val="Header"/>
      <w:pBdr>
        <w:bottom w:val="single" w:sz="4" w:space="1" w:color="auto"/>
      </w:pBdr>
      <w:tabs>
        <w:tab w:val="clear" w:pos="4513"/>
        <w:tab w:val="clear" w:pos="9027"/>
      </w:tabs>
      <w:jc w:val="center"/>
    </w:pPr>
    <w:bookmarkStart w:id="41" w:name="spsSymbolHeader"/>
    <w:r w:rsidRPr="002F6A28">
      <w:t>G/TBT/N/DNK/102</w:t>
    </w:r>
    <w:bookmarkEnd w:id="41"/>
  </w:p>
  <w:p w14:paraId="3DB0EF63" w14:textId="77777777" w:rsidR="009239F7" w:rsidRPr="002F6A28" w:rsidRDefault="009239F7" w:rsidP="009239F7">
    <w:pPr>
      <w:pStyle w:val="Header"/>
      <w:pBdr>
        <w:bottom w:val="single" w:sz="4" w:space="1" w:color="auto"/>
      </w:pBdr>
      <w:tabs>
        <w:tab w:val="clear" w:pos="4513"/>
        <w:tab w:val="clear" w:pos="9027"/>
      </w:tabs>
      <w:jc w:val="center"/>
    </w:pPr>
  </w:p>
  <w:p w14:paraId="47DC8953" w14:textId="77777777" w:rsidR="009239F7" w:rsidRPr="002F6A28" w:rsidRDefault="0060706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28CFF4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3596" w14:paraId="7981009F" w14:textId="77777777" w:rsidTr="008612A9">
      <w:trPr>
        <w:trHeight w:val="240"/>
        <w:jc w:val="center"/>
      </w:trPr>
      <w:tc>
        <w:tcPr>
          <w:tcW w:w="3794" w:type="dxa"/>
          <w:shd w:val="clear" w:color="auto" w:fill="FFFFFF"/>
          <w:tcMar>
            <w:left w:w="108" w:type="dxa"/>
            <w:right w:w="108" w:type="dxa"/>
          </w:tcMar>
          <w:vAlign w:val="center"/>
        </w:tcPr>
        <w:p w14:paraId="32B83E9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146F063" w14:textId="77777777" w:rsidR="00ED54E0" w:rsidRPr="009239F7" w:rsidRDefault="00ED54E0" w:rsidP="00B801E9">
          <w:pPr>
            <w:jc w:val="right"/>
            <w:rPr>
              <w:b/>
              <w:color w:val="FF0000"/>
              <w:szCs w:val="16"/>
            </w:rPr>
          </w:pPr>
        </w:p>
      </w:tc>
    </w:tr>
    <w:bookmarkEnd w:id="42"/>
    <w:tr w:rsidR="00483596" w14:paraId="27E5C370" w14:textId="77777777" w:rsidTr="008612A9">
      <w:trPr>
        <w:trHeight w:val="213"/>
        <w:jc w:val="center"/>
      </w:trPr>
      <w:tc>
        <w:tcPr>
          <w:tcW w:w="3794" w:type="dxa"/>
          <w:vMerge w:val="restart"/>
          <w:shd w:val="clear" w:color="auto" w:fill="FFFFFF"/>
          <w:tcMar>
            <w:left w:w="0" w:type="dxa"/>
            <w:right w:w="0" w:type="dxa"/>
          </w:tcMar>
        </w:tcPr>
        <w:p w14:paraId="6501BADC" w14:textId="77777777" w:rsidR="00ED54E0" w:rsidRPr="009239F7" w:rsidRDefault="00607067" w:rsidP="00B801E9">
          <w:pPr>
            <w:jc w:val="left"/>
          </w:pPr>
          <w:r>
            <w:rPr>
              <w:noProof/>
              <w:lang w:eastAsia="en-GB"/>
            </w:rPr>
            <w:drawing>
              <wp:inline distT="0" distB="0" distL="0" distR="0" wp14:anchorId="34FDA459" wp14:editId="0196AAB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0322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E6A87BB" w14:textId="77777777" w:rsidR="00ED54E0" w:rsidRPr="009239F7" w:rsidRDefault="00ED54E0" w:rsidP="00B801E9">
          <w:pPr>
            <w:jc w:val="right"/>
            <w:rPr>
              <w:b/>
              <w:szCs w:val="16"/>
            </w:rPr>
          </w:pPr>
        </w:p>
      </w:tc>
    </w:tr>
    <w:tr w:rsidR="00483596" w14:paraId="42C70704" w14:textId="77777777" w:rsidTr="008612A9">
      <w:trPr>
        <w:trHeight w:val="868"/>
        <w:jc w:val="center"/>
      </w:trPr>
      <w:tc>
        <w:tcPr>
          <w:tcW w:w="3794" w:type="dxa"/>
          <w:vMerge/>
          <w:shd w:val="clear" w:color="auto" w:fill="FFFFFF"/>
          <w:tcMar>
            <w:left w:w="108" w:type="dxa"/>
            <w:right w:w="108" w:type="dxa"/>
          </w:tcMar>
        </w:tcPr>
        <w:p w14:paraId="3487638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900E7BD" w14:textId="77777777" w:rsidR="009239F7" w:rsidRPr="002F6A28" w:rsidRDefault="00607067" w:rsidP="00B801E9">
          <w:pPr>
            <w:jc w:val="right"/>
            <w:rPr>
              <w:b/>
              <w:szCs w:val="16"/>
            </w:rPr>
          </w:pPr>
          <w:bookmarkStart w:id="43" w:name="bmkSymbols"/>
          <w:r w:rsidRPr="002F6A28">
            <w:rPr>
              <w:b/>
              <w:szCs w:val="16"/>
            </w:rPr>
            <w:t>G/TBT/N/DNK/102</w:t>
          </w:r>
          <w:bookmarkEnd w:id="43"/>
        </w:p>
      </w:tc>
    </w:tr>
    <w:tr w:rsidR="00483596" w14:paraId="3757C47E" w14:textId="77777777" w:rsidTr="008612A9">
      <w:trPr>
        <w:trHeight w:val="240"/>
        <w:jc w:val="center"/>
      </w:trPr>
      <w:tc>
        <w:tcPr>
          <w:tcW w:w="3794" w:type="dxa"/>
          <w:vMerge/>
          <w:shd w:val="clear" w:color="auto" w:fill="FFFFFF"/>
          <w:tcMar>
            <w:left w:w="108" w:type="dxa"/>
            <w:right w:w="108" w:type="dxa"/>
          </w:tcMar>
          <w:vAlign w:val="center"/>
        </w:tcPr>
        <w:p w14:paraId="6864F79F" w14:textId="77777777" w:rsidR="00ED54E0" w:rsidRPr="009239F7" w:rsidRDefault="00ED54E0" w:rsidP="00B801E9"/>
      </w:tc>
      <w:tc>
        <w:tcPr>
          <w:tcW w:w="5448" w:type="dxa"/>
          <w:gridSpan w:val="2"/>
          <w:shd w:val="clear" w:color="auto" w:fill="FFFFFF"/>
          <w:tcMar>
            <w:left w:w="108" w:type="dxa"/>
            <w:right w:w="108" w:type="dxa"/>
          </w:tcMar>
          <w:vAlign w:val="center"/>
        </w:tcPr>
        <w:p w14:paraId="047C806F" w14:textId="426F65BC" w:rsidR="00ED54E0" w:rsidRPr="009239F7" w:rsidRDefault="00607067" w:rsidP="00B801E9">
          <w:pPr>
            <w:jc w:val="right"/>
            <w:rPr>
              <w:szCs w:val="16"/>
            </w:rPr>
          </w:pPr>
          <w:bookmarkStart w:id="44" w:name="spsDateDistribution"/>
          <w:bookmarkStart w:id="45" w:name="bmkDate"/>
          <w:bookmarkEnd w:id="44"/>
          <w:bookmarkEnd w:id="45"/>
          <w:r>
            <w:rPr>
              <w:szCs w:val="16"/>
            </w:rPr>
            <w:t>14 September 2020</w:t>
          </w:r>
        </w:p>
      </w:tc>
    </w:tr>
    <w:tr w:rsidR="00483596" w14:paraId="640731C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19E905" w14:textId="6FFC57EA" w:rsidR="00ED54E0" w:rsidRPr="009239F7" w:rsidRDefault="00607067"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5E72EE">
            <w:rPr>
              <w:color w:val="FF0000"/>
              <w:szCs w:val="16"/>
            </w:rPr>
            <w:t>6133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60D3717" w14:textId="77777777" w:rsidR="00ED54E0" w:rsidRPr="009239F7" w:rsidRDefault="0060706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83596" w14:paraId="50E5159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0CFFD4" w14:textId="77777777" w:rsidR="00ED54E0" w:rsidRPr="009239F7" w:rsidRDefault="0060706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4BF1067" w14:textId="77777777" w:rsidR="00ED54E0" w:rsidRPr="002F6A28" w:rsidRDefault="0060706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7F7A07F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FC311A">
      <w:start w:val="1"/>
      <w:numFmt w:val="decimal"/>
      <w:pStyle w:val="SummaryText"/>
      <w:lvlText w:val="%1."/>
      <w:lvlJc w:val="left"/>
      <w:pPr>
        <w:ind w:left="360" w:hanging="360"/>
      </w:pPr>
    </w:lvl>
    <w:lvl w:ilvl="1" w:tplc="0B0AD8C0" w:tentative="1">
      <w:start w:val="1"/>
      <w:numFmt w:val="lowerLetter"/>
      <w:lvlText w:val="%2."/>
      <w:lvlJc w:val="left"/>
      <w:pPr>
        <w:ind w:left="1080" w:hanging="360"/>
      </w:pPr>
    </w:lvl>
    <w:lvl w:ilvl="2" w:tplc="C31EE1A2" w:tentative="1">
      <w:start w:val="1"/>
      <w:numFmt w:val="lowerRoman"/>
      <w:lvlText w:val="%3."/>
      <w:lvlJc w:val="right"/>
      <w:pPr>
        <w:ind w:left="1800" w:hanging="180"/>
      </w:pPr>
    </w:lvl>
    <w:lvl w:ilvl="3" w:tplc="85C434C2" w:tentative="1">
      <w:start w:val="1"/>
      <w:numFmt w:val="decimal"/>
      <w:lvlText w:val="%4."/>
      <w:lvlJc w:val="left"/>
      <w:pPr>
        <w:ind w:left="2520" w:hanging="360"/>
      </w:pPr>
    </w:lvl>
    <w:lvl w:ilvl="4" w:tplc="85E87DE4" w:tentative="1">
      <w:start w:val="1"/>
      <w:numFmt w:val="lowerLetter"/>
      <w:lvlText w:val="%5."/>
      <w:lvlJc w:val="left"/>
      <w:pPr>
        <w:ind w:left="3240" w:hanging="360"/>
      </w:pPr>
    </w:lvl>
    <w:lvl w:ilvl="5" w:tplc="F5BE1532" w:tentative="1">
      <w:start w:val="1"/>
      <w:numFmt w:val="lowerRoman"/>
      <w:lvlText w:val="%6."/>
      <w:lvlJc w:val="right"/>
      <w:pPr>
        <w:ind w:left="3960" w:hanging="180"/>
      </w:pPr>
    </w:lvl>
    <w:lvl w:ilvl="6" w:tplc="95206D88" w:tentative="1">
      <w:start w:val="1"/>
      <w:numFmt w:val="decimal"/>
      <w:lvlText w:val="%7."/>
      <w:lvlJc w:val="left"/>
      <w:pPr>
        <w:ind w:left="4680" w:hanging="360"/>
      </w:pPr>
    </w:lvl>
    <w:lvl w:ilvl="7" w:tplc="884A1D2A" w:tentative="1">
      <w:start w:val="1"/>
      <w:numFmt w:val="lowerLetter"/>
      <w:lvlText w:val="%8."/>
      <w:lvlJc w:val="left"/>
      <w:pPr>
        <w:ind w:left="5400" w:hanging="360"/>
      </w:pPr>
    </w:lvl>
    <w:lvl w:ilvl="8" w:tplc="1C740BD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75EAC00">
      <w:start w:val="1"/>
      <w:numFmt w:val="bullet"/>
      <w:lvlText w:val=""/>
      <w:lvlJc w:val="left"/>
      <w:pPr>
        <w:ind w:left="720" w:hanging="360"/>
      </w:pPr>
      <w:rPr>
        <w:rFonts w:ascii="Symbol" w:hAnsi="Symbol"/>
      </w:rPr>
    </w:lvl>
    <w:lvl w:ilvl="1" w:tplc="154EA7FA">
      <w:start w:val="1"/>
      <w:numFmt w:val="bullet"/>
      <w:lvlText w:val="o"/>
      <w:lvlJc w:val="left"/>
      <w:pPr>
        <w:tabs>
          <w:tab w:val="num" w:pos="1440"/>
        </w:tabs>
        <w:ind w:left="1440" w:hanging="360"/>
      </w:pPr>
      <w:rPr>
        <w:rFonts w:ascii="Courier New" w:hAnsi="Courier New"/>
      </w:rPr>
    </w:lvl>
    <w:lvl w:ilvl="2" w:tplc="C69016A6">
      <w:start w:val="1"/>
      <w:numFmt w:val="bullet"/>
      <w:lvlText w:val=""/>
      <w:lvlJc w:val="left"/>
      <w:pPr>
        <w:tabs>
          <w:tab w:val="num" w:pos="2160"/>
        </w:tabs>
        <w:ind w:left="2160" w:hanging="360"/>
      </w:pPr>
      <w:rPr>
        <w:rFonts w:ascii="Wingdings" w:hAnsi="Wingdings"/>
      </w:rPr>
    </w:lvl>
    <w:lvl w:ilvl="3" w:tplc="5D14300A">
      <w:start w:val="1"/>
      <w:numFmt w:val="bullet"/>
      <w:lvlText w:val=""/>
      <w:lvlJc w:val="left"/>
      <w:pPr>
        <w:tabs>
          <w:tab w:val="num" w:pos="2880"/>
        </w:tabs>
        <w:ind w:left="2880" w:hanging="360"/>
      </w:pPr>
      <w:rPr>
        <w:rFonts w:ascii="Symbol" w:hAnsi="Symbol"/>
      </w:rPr>
    </w:lvl>
    <w:lvl w:ilvl="4" w:tplc="7548E686">
      <w:start w:val="1"/>
      <w:numFmt w:val="bullet"/>
      <w:lvlText w:val="o"/>
      <w:lvlJc w:val="left"/>
      <w:pPr>
        <w:tabs>
          <w:tab w:val="num" w:pos="3600"/>
        </w:tabs>
        <w:ind w:left="3600" w:hanging="360"/>
      </w:pPr>
      <w:rPr>
        <w:rFonts w:ascii="Courier New" w:hAnsi="Courier New"/>
      </w:rPr>
    </w:lvl>
    <w:lvl w:ilvl="5" w:tplc="5F1087B0">
      <w:start w:val="1"/>
      <w:numFmt w:val="bullet"/>
      <w:lvlText w:val=""/>
      <w:lvlJc w:val="left"/>
      <w:pPr>
        <w:tabs>
          <w:tab w:val="num" w:pos="4320"/>
        </w:tabs>
        <w:ind w:left="4320" w:hanging="360"/>
      </w:pPr>
      <w:rPr>
        <w:rFonts w:ascii="Wingdings" w:hAnsi="Wingdings"/>
      </w:rPr>
    </w:lvl>
    <w:lvl w:ilvl="6" w:tplc="F552D8A0">
      <w:start w:val="1"/>
      <w:numFmt w:val="bullet"/>
      <w:lvlText w:val=""/>
      <w:lvlJc w:val="left"/>
      <w:pPr>
        <w:tabs>
          <w:tab w:val="num" w:pos="5040"/>
        </w:tabs>
        <w:ind w:left="5040" w:hanging="360"/>
      </w:pPr>
      <w:rPr>
        <w:rFonts w:ascii="Symbol" w:hAnsi="Symbol"/>
      </w:rPr>
    </w:lvl>
    <w:lvl w:ilvl="7" w:tplc="F326A200">
      <w:start w:val="1"/>
      <w:numFmt w:val="bullet"/>
      <w:lvlText w:val="o"/>
      <w:lvlJc w:val="left"/>
      <w:pPr>
        <w:tabs>
          <w:tab w:val="num" w:pos="5760"/>
        </w:tabs>
        <w:ind w:left="5760" w:hanging="360"/>
      </w:pPr>
      <w:rPr>
        <w:rFonts w:ascii="Courier New" w:hAnsi="Courier New"/>
      </w:rPr>
    </w:lvl>
    <w:lvl w:ilvl="8" w:tplc="48066A0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83596"/>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72EE"/>
    <w:rsid w:val="005F30CB"/>
    <w:rsid w:val="005F6444"/>
    <w:rsid w:val="00607067"/>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6D81"/>
    <w:rsid w:val="008B223A"/>
    <w:rsid w:val="008B4A10"/>
    <w:rsid w:val="008B4FB8"/>
    <w:rsid w:val="008C1339"/>
    <w:rsid w:val="008E372C"/>
    <w:rsid w:val="008E67DC"/>
    <w:rsid w:val="009079F5"/>
    <w:rsid w:val="009239F7"/>
    <w:rsid w:val="0092459E"/>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4CA1"/>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5A8"/>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3156A"/>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473F2"/>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8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fvm@mfvm.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vm@mfvm.d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s.dk" TargetMode="External"/><Relationship Id="rId4" Type="http://schemas.openxmlformats.org/officeDocument/2006/relationships/webSettings" Target="webSettings.xml"/><Relationship Id="rId9" Type="http://schemas.openxmlformats.org/officeDocument/2006/relationships/hyperlink" Target="mailto:wto@ds.d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728</Words>
  <Characters>3971</Characters>
  <Application>Microsoft Office Word</Application>
  <DocSecurity>0</DocSecurity>
  <Lines>92</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2020-09-14T09:11:00Z</dcterms:created>
  <dcterms:modified xsi:type="dcterms:W3CDTF">2020-09-14T12:56:00Z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164845da-0d27-4477-87e4-f4d49ac10c47</vt:lpwstr>
  </property>
  <property fmtid="{D5CDD505-2E9C-101B-9397-08002B2CF9AE}" pid="4" name="WTOCLASSIFICATION">
    <vt:lpwstr>WTO OFFICIAL</vt:lpwstr>
  </property>
</Properties>
</file>