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E80B" w14:textId="77777777" w:rsidR="009239F7" w:rsidRPr="002F6A28" w:rsidRDefault="00A40001" w:rsidP="002F6A28">
      <w:pPr>
        <w:pStyle w:val="Title"/>
        <w:rPr>
          <w:caps w:val="0"/>
          <w:kern w:val="0"/>
        </w:rPr>
      </w:pPr>
      <w:bookmarkStart w:id="0" w:name="_GoBack"/>
      <w:bookmarkEnd w:id="0"/>
      <w:r w:rsidRPr="002F6A28">
        <w:rPr>
          <w:caps w:val="0"/>
          <w:kern w:val="0"/>
        </w:rPr>
        <w:t>NOTIFICATION</w:t>
      </w:r>
    </w:p>
    <w:p w14:paraId="09B9AF7D" w14:textId="77777777" w:rsidR="009239F7" w:rsidRPr="002F6A28" w:rsidRDefault="00A40001" w:rsidP="002F6A28">
      <w:pPr>
        <w:jc w:val="center"/>
      </w:pPr>
      <w:r w:rsidRPr="002F6A28">
        <w:t>The following notification is being circulated in accordance with Article 10.6</w:t>
      </w:r>
    </w:p>
    <w:p w14:paraId="338DF87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7DDE" w14:paraId="0CBC2D88" w14:textId="77777777" w:rsidTr="0069259F">
        <w:tc>
          <w:tcPr>
            <w:tcW w:w="713" w:type="dxa"/>
            <w:tcBorders>
              <w:bottom w:val="single" w:sz="6" w:space="0" w:color="auto"/>
            </w:tcBorders>
            <w:shd w:val="clear" w:color="auto" w:fill="auto"/>
          </w:tcPr>
          <w:p w14:paraId="6881036E" w14:textId="77777777" w:rsidR="00F85C99" w:rsidRPr="002F6A28" w:rsidRDefault="00A40001" w:rsidP="002F6A28">
            <w:pPr>
              <w:spacing w:before="120" w:after="120"/>
              <w:jc w:val="left"/>
            </w:pPr>
            <w:r w:rsidRPr="002F6A28">
              <w:rPr>
                <w:b/>
              </w:rPr>
              <w:t>1.</w:t>
            </w:r>
          </w:p>
        </w:tc>
        <w:tc>
          <w:tcPr>
            <w:tcW w:w="8546" w:type="dxa"/>
            <w:tcBorders>
              <w:bottom w:val="single" w:sz="6" w:space="0" w:color="auto"/>
            </w:tcBorders>
            <w:shd w:val="clear" w:color="auto" w:fill="auto"/>
          </w:tcPr>
          <w:p w14:paraId="386D80E2" w14:textId="77777777" w:rsidR="00F85C99" w:rsidRPr="002F6A28" w:rsidRDefault="00A4000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Australia</w:t>
            </w:r>
            <w:bookmarkEnd w:id="2"/>
            <w:r w:rsidRPr="002F6A28">
              <w:t xml:space="preserve"> </w:t>
            </w:r>
          </w:p>
          <w:p w14:paraId="5BF6237C" w14:textId="77777777" w:rsidR="00F85C99" w:rsidRPr="002F6A28" w:rsidRDefault="00A4000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87DDE" w14:paraId="0F66649E" w14:textId="77777777" w:rsidTr="0069259F">
        <w:tc>
          <w:tcPr>
            <w:tcW w:w="713" w:type="dxa"/>
            <w:tcBorders>
              <w:top w:val="single" w:sz="6" w:space="0" w:color="auto"/>
              <w:bottom w:val="single" w:sz="6" w:space="0" w:color="auto"/>
            </w:tcBorders>
            <w:shd w:val="clear" w:color="auto" w:fill="auto"/>
          </w:tcPr>
          <w:p w14:paraId="2A2B79F2" w14:textId="77777777" w:rsidR="00F85C99" w:rsidRPr="002F6A28" w:rsidRDefault="00A400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0F213F3" w14:textId="77777777" w:rsidR="00F85C99" w:rsidRPr="002F6A28" w:rsidRDefault="00A4000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Therapeutic Goods Administration, Department of Health</w:t>
            </w:r>
            <w:bookmarkEnd w:id="6"/>
          </w:p>
          <w:p w14:paraId="41F445B7" w14:textId="77777777" w:rsidR="00F85C99" w:rsidRPr="002F6A28" w:rsidRDefault="00A4000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532361A9" w14:textId="77777777" w:rsidR="005660A7" w:rsidRPr="002F6A28" w:rsidRDefault="00A40001" w:rsidP="00AA646C">
            <w:pPr>
              <w:spacing w:after="120"/>
              <w:jc w:val="left"/>
            </w:pPr>
            <w:r w:rsidRPr="002F6A28">
              <w:t xml:space="preserve">Department of Foreign Affairs and Trade </w:t>
            </w:r>
            <w:r w:rsidRPr="002F6A28">
              <w:br/>
              <w:t xml:space="preserve">Email: </w:t>
            </w:r>
            <w:hyperlink r:id="rId7" w:history="1">
              <w:r w:rsidRPr="002F6A28">
                <w:rPr>
                  <w:color w:val="0000FF"/>
                  <w:u w:val="single"/>
                </w:rPr>
                <w:t>tbt.enquiry@dfat.gov.au</w:t>
              </w:r>
            </w:hyperlink>
            <w:bookmarkEnd w:id="8"/>
          </w:p>
        </w:tc>
      </w:tr>
      <w:tr w:rsidR="00787DDE" w14:paraId="0E44AF91" w14:textId="77777777" w:rsidTr="0069259F">
        <w:tc>
          <w:tcPr>
            <w:tcW w:w="713" w:type="dxa"/>
            <w:tcBorders>
              <w:top w:val="single" w:sz="6" w:space="0" w:color="auto"/>
              <w:bottom w:val="single" w:sz="6" w:space="0" w:color="auto"/>
            </w:tcBorders>
            <w:shd w:val="clear" w:color="auto" w:fill="auto"/>
          </w:tcPr>
          <w:p w14:paraId="662EBB2B" w14:textId="77777777" w:rsidR="00F85C99" w:rsidRPr="002F6A28" w:rsidRDefault="00A400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9CF3C2F" w14:textId="77777777" w:rsidR="00F85C99" w:rsidRPr="0058336F" w:rsidRDefault="00A4000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87DDE" w14:paraId="553BDC98" w14:textId="77777777" w:rsidTr="0069259F">
        <w:tc>
          <w:tcPr>
            <w:tcW w:w="713" w:type="dxa"/>
            <w:tcBorders>
              <w:top w:val="single" w:sz="6" w:space="0" w:color="auto"/>
              <w:bottom w:val="single" w:sz="6" w:space="0" w:color="auto"/>
            </w:tcBorders>
            <w:shd w:val="clear" w:color="auto" w:fill="auto"/>
          </w:tcPr>
          <w:p w14:paraId="7C101501" w14:textId="77777777" w:rsidR="00F85C99" w:rsidRPr="002F6A28" w:rsidRDefault="00A400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002C492" w14:textId="77777777" w:rsidR="00F85C99" w:rsidRPr="002F6A28" w:rsidRDefault="00A4000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Medicines; PHARMACEUTICAL PRODUCTS (HS 30)</w:t>
            </w:r>
            <w:bookmarkStart w:id="21" w:name="sps3a"/>
            <w:bookmarkEnd w:id="21"/>
          </w:p>
        </w:tc>
      </w:tr>
      <w:tr w:rsidR="00787DDE" w14:paraId="1DAF3C99" w14:textId="77777777" w:rsidTr="0069259F">
        <w:tc>
          <w:tcPr>
            <w:tcW w:w="713" w:type="dxa"/>
            <w:tcBorders>
              <w:top w:val="single" w:sz="6" w:space="0" w:color="auto"/>
              <w:bottom w:val="single" w:sz="6" w:space="0" w:color="auto"/>
            </w:tcBorders>
            <w:shd w:val="clear" w:color="auto" w:fill="auto"/>
          </w:tcPr>
          <w:p w14:paraId="748A9EF6" w14:textId="77777777" w:rsidR="00F85C99" w:rsidRPr="002F6A28" w:rsidRDefault="00A400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5014B37" w14:textId="77777777" w:rsidR="00F85C99" w:rsidRPr="002F6A28" w:rsidRDefault="00A4000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Proposed new standard for medicine serialisation and data matrix codes - Therapeutic Goods (Medicines—Standard for Serialisation and Data Matrix Codes) (TGO 106) Order 2020</w:t>
            </w:r>
            <w:bookmarkStart w:id="23" w:name="sps5a"/>
            <w:bookmarkStart w:id="24" w:name="sps5c"/>
            <w:bookmarkStart w:id="25" w:name="sps5b"/>
            <w:bookmarkEnd w:id="23"/>
            <w:bookmarkEnd w:id="24"/>
            <w:bookmarkEnd w:id="25"/>
          </w:p>
        </w:tc>
      </w:tr>
      <w:tr w:rsidR="00787DDE" w14:paraId="50AEAF9F" w14:textId="77777777" w:rsidTr="0069259F">
        <w:tc>
          <w:tcPr>
            <w:tcW w:w="713" w:type="dxa"/>
            <w:tcBorders>
              <w:top w:val="single" w:sz="6" w:space="0" w:color="auto"/>
              <w:bottom w:val="single" w:sz="6" w:space="0" w:color="auto"/>
            </w:tcBorders>
            <w:shd w:val="clear" w:color="auto" w:fill="auto"/>
          </w:tcPr>
          <w:p w14:paraId="66B47539" w14:textId="77777777" w:rsidR="00F85C99" w:rsidRPr="002F6A28" w:rsidRDefault="00A400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401FC07" w14:textId="77777777" w:rsidR="00F85C99" w:rsidRPr="002F6A28" w:rsidRDefault="00A4000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Therapeutic Goods Administration (TGA) is proposing a new standard to outline requirements for medicine serialisation and the application of data matrix codes to the labels of certain medicines supplied in Australia. The introduction of the standard is not intended to mandate the use of data matrix codes or serialisation. Instead, it sets out the technical requirements where the medicine sponsor chooses to implement either of these. </w:t>
            </w:r>
          </w:p>
          <w:p w14:paraId="4B2E56BC" w14:textId="77777777" w:rsidR="00FE448B" w:rsidRPr="00C379C8" w:rsidRDefault="00A40001" w:rsidP="002F6A28">
            <w:pPr>
              <w:spacing w:after="120"/>
            </w:pPr>
            <w:r w:rsidRPr="00C379C8">
              <w:t>The purpose of the standard is to give clarity and certainty for adopters of data matrix codes and serialisation of medicines supplied in Australia. It is the first step in establishing requirements that support all systems relying on the codes. The requirements align, where possible, with global standards to provide consistency for sponsors and manufacturers operating in multiple jurisdictions and to ensure global interoperability. </w:t>
            </w:r>
          </w:p>
          <w:p w14:paraId="4BC23AFF" w14:textId="77777777" w:rsidR="00FE448B" w:rsidRPr="00C379C8" w:rsidRDefault="00A40001" w:rsidP="002F6A28">
            <w:pPr>
              <w:spacing w:after="120"/>
            </w:pPr>
            <w:r w:rsidRPr="00C379C8">
              <w:t>Australia does not currently have the infrastructure to facilitate medicine tracking. The introduction of the new standard will occur independently from the broader considerations needed before Australia determines which track and trace system is appropriate for our medicine supply chain. </w:t>
            </w:r>
          </w:p>
          <w:p w14:paraId="755E1429" w14:textId="77777777" w:rsidR="00FE448B" w:rsidRPr="00C379C8" w:rsidRDefault="00A40001" w:rsidP="002F6A28">
            <w:pPr>
              <w:spacing w:after="120"/>
            </w:pPr>
            <w:r w:rsidRPr="00C379C8">
              <w:t>A public consultation on the draft standard was open from July to August 2020. Respondents provided a range of suggestions to improve the new standard and associated guidance, with many supporting the implementation of a standard to provide consistent regulatory requirements which align with international standards. The draft standard and consultation documents are available at </w:t>
            </w:r>
            <w:hyperlink r:id="rId8" w:history="1">
              <w:r w:rsidRPr="00C379C8">
                <w:rPr>
                  <w:color w:val="0000FF"/>
                  <w:u w:val="single"/>
                </w:rPr>
                <w:t>https://consultations.health.gov.au/medicines-regulation-division/consultation-tgo106-data-matrix-codes-on-medicines/</w:t>
              </w:r>
            </w:hyperlink>
            <w:r w:rsidRPr="00C379C8">
              <w:t>.</w:t>
            </w:r>
          </w:p>
          <w:p w14:paraId="35386CB2" w14:textId="77777777" w:rsidR="00FE448B" w:rsidRPr="00C379C8" w:rsidRDefault="00A40001" w:rsidP="002F6A28">
            <w:pPr>
              <w:spacing w:after="120"/>
            </w:pPr>
            <w:r w:rsidRPr="00C379C8">
              <w:t xml:space="preserve">The TGA is reviewing all the submissions received and will make changes to the draft standard and guidance in consideration of this feedback. It is planned that the updated </w:t>
            </w:r>
            <w:r w:rsidRPr="00C379C8">
              <w:lastRenderedPageBreak/>
              <w:t>standard will be implemented in January 2021, with a delayed commencement period (up to 2 years) to allow sufficient time for sponsors currently applying data matrix codes and/or serialising to comply with the standard.</w:t>
            </w:r>
          </w:p>
        </w:tc>
      </w:tr>
      <w:tr w:rsidR="00787DDE" w14:paraId="6C63781B" w14:textId="77777777" w:rsidTr="0069259F">
        <w:tc>
          <w:tcPr>
            <w:tcW w:w="713" w:type="dxa"/>
            <w:tcBorders>
              <w:top w:val="single" w:sz="6" w:space="0" w:color="auto"/>
              <w:bottom w:val="single" w:sz="6" w:space="0" w:color="auto"/>
            </w:tcBorders>
            <w:shd w:val="clear" w:color="auto" w:fill="auto"/>
          </w:tcPr>
          <w:p w14:paraId="58944120" w14:textId="77777777" w:rsidR="00F85C99" w:rsidRPr="002F6A28" w:rsidRDefault="00A4000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A9344B6" w14:textId="77777777" w:rsidR="00F85C99" w:rsidRPr="002F6A28" w:rsidRDefault="00A4000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objectives of the new standard are to: </w:t>
            </w:r>
          </w:p>
          <w:p w14:paraId="0EBFDD07" w14:textId="77777777" w:rsidR="00EE3A11" w:rsidRPr="00C379C8" w:rsidRDefault="00A40001" w:rsidP="002F6A28">
            <w:pPr>
              <w:numPr>
                <w:ilvl w:val="0"/>
                <w:numId w:val="16"/>
              </w:numPr>
              <w:spacing w:before="120" w:after="120"/>
              <w:jc w:val="left"/>
            </w:pPr>
            <w:r w:rsidRPr="00C379C8">
              <w:t>provide clarity on technical requirements for adopters of data matrix codes and medicine serialisation</w:t>
            </w:r>
          </w:p>
          <w:p w14:paraId="718F0006" w14:textId="77777777" w:rsidR="00EE3A11" w:rsidRPr="00C379C8" w:rsidRDefault="00A40001" w:rsidP="002F6A28">
            <w:pPr>
              <w:numPr>
                <w:ilvl w:val="0"/>
                <w:numId w:val="16"/>
              </w:numPr>
              <w:spacing w:before="120" w:after="120"/>
              <w:jc w:val="left"/>
            </w:pPr>
            <w:r w:rsidRPr="00C379C8">
              <w:t>provide a foundation to support all systems relying on the codes</w:t>
            </w:r>
          </w:p>
          <w:p w14:paraId="1600E603" w14:textId="77777777" w:rsidR="00EE3A11" w:rsidRPr="00C379C8" w:rsidRDefault="00A40001" w:rsidP="002F6A28">
            <w:pPr>
              <w:numPr>
                <w:ilvl w:val="0"/>
                <w:numId w:val="16"/>
              </w:numPr>
              <w:spacing w:before="120" w:after="120"/>
              <w:jc w:val="left"/>
            </w:pPr>
            <w:r w:rsidRPr="00C379C8">
              <w:t>provide consistency for sponsors and manufacturers operating in multiple jurisdictions and to ensure global interoperability.</w:t>
            </w:r>
          </w:p>
          <w:p w14:paraId="3B84B012" w14:textId="77777777" w:rsidR="00EE3A11" w:rsidRPr="00C379C8" w:rsidRDefault="00A40001" w:rsidP="002F6A28">
            <w:pPr>
              <w:spacing w:before="120" w:after="120"/>
            </w:pPr>
            <w:r w:rsidRPr="00C379C8">
              <w:t>; Consumer information, labelling; Harmonization</w:t>
            </w:r>
            <w:bookmarkStart w:id="28" w:name="sps7f"/>
            <w:bookmarkEnd w:id="28"/>
          </w:p>
        </w:tc>
      </w:tr>
      <w:tr w:rsidR="00787DDE" w14:paraId="6DAE56BF" w14:textId="77777777" w:rsidTr="0069259F">
        <w:tc>
          <w:tcPr>
            <w:tcW w:w="713" w:type="dxa"/>
            <w:tcBorders>
              <w:top w:val="single" w:sz="6" w:space="0" w:color="auto"/>
              <w:bottom w:val="single" w:sz="6" w:space="0" w:color="auto"/>
            </w:tcBorders>
            <w:shd w:val="clear" w:color="auto" w:fill="auto"/>
          </w:tcPr>
          <w:p w14:paraId="3F038E48" w14:textId="77777777" w:rsidR="00F85C99" w:rsidRPr="002F6A28" w:rsidRDefault="00A4000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763E58" w14:textId="77777777" w:rsidR="00072B36" w:rsidRPr="002F6A28" w:rsidRDefault="00A4000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14275D0" w14:textId="77777777" w:rsidR="00F85C99" w:rsidRPr="002F6A28" w:rsidRDefault="00A40001" w:rsidP="009E75ED">
            <w:pPr>
              <w:spacing w:before="120" w:after="120"/>
            </w:pPr>
            <w:r w:rsidRPr="002F6A28">
              <w:rPr>
                <w:bCs/>
              </w:rPr>
              <w:t xml:space="preserve">The proposed standard and consultation documents are available here: </w:t>
            </w:r>
            <w:hyperlink r:id="rId9" w:history="1">
              <w:r w:rsidRPr="002F6A28">
                <w:rPr>
                  <w:bCs/>
                  <w:color w:val="0000FF"/>
                  <w:u w:val="single"/>
                </w:rPr>
                <w:t>https://consultations.health.gov.au/medicines-regulation-division/consultation-tgo106-data-matrix-codes-on-medicines/</w:t>
              </w:r>
            </w:hyperlink>
            <w:r w:rsidRPr="002F6A28">
              <w:rPr>
                <w:bCs/>
              </w:rPr>
              <w:t>. The proposed standard will be updated in consideration of the consultation feedback before it is implemented.</w:t>
            </w:r>
          </w:p>
        </w:tc>
      </w:tr>
      <w:tr w:rsidR="00787DDE" w14:paraId="6B081E44" w14:textId="77777777" w:rsidTr="00AE6CC8">
        <w:trPr>
          <w:cantSplit/>
        </w:trPr>
        <w:tc>
          <w:tcPr>
            <w:tcW w:w="713" w:type="dxa"/>
            <w:tcBorders>
              <w:top w:val="single" w:sz="6" w:space="0" w:color="auto"/>
              <w:bottom w:val="single" w:sz="6" w:space="0" w:color="auto"/>
            </w:tcBorders>
            <w:shd w:val="clear" w:color="auto" w:fill="auto"/>
          </w:tcPr>
          <w:p w14:paraId="5442C157" w14:textId="77777777" w:rsidR="00EE3A11" w:rsidRPr="002F6A28" w:rsidRDefault="00A4000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00017D3" w14:textId="77777777" w:rsidR="00EE3A11" w:rsidRPr="002F6A28" w:rsidRDefault="00A4000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January 2021</w:t>
            </w:r>
            <w:bookmarkEnd w:id="32"/>
          </w:p>
          <w:p w14:paraId="3E9EBEBD" w14:textId="77777777" w:rsidR="00EE3A11" w:rsidRPr="002F6A28" w:rsidRDefault="00A4000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An updated version of the standard is likely to be implemented in January 2021 with a delayed commencement period (up to 2 years).</w:t>
            </w:r>
            <w:bookmarkEnd w:id="35"/>
          </w:p>
        </w:tc>
      </w:tr>
      <w:tr w:rsidR="00787DDE" w14:paraId="79CDA15A" w14:textId="77777777" w:rsidTr="0069259F">
        <w:tc>
          <w:tcPr>
            <w:tcW w:w="713" w:type="dxa"/>
            <w:tcBorders>
              <w:top w:val="single" w:sz="6" w:space="0" w:color="auto"/>
              <w:bottom w:val="single" w:sz="6" w:space="0" w:color="auto"/>
            </w:tcBorders>
            <w:shd w:val="clear" w:color="auto" w:fill="auto"/>
          </w:tcPr>
          <w:p w14:paraId="317E0D17" w14:textId="77777777" w:rsidR="00F85C99" w:rsidRPr="002F6A28" w:rsidRDefault="00A400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BC904E5" w14:textId="77777777" w:rsidR="00F85C99" w:rsidRPr="002F6A28" w:rsidRDefault="00A40001"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787DDE" w14:paraId="08A079B8" w14:textId="77777777" w:rsidTr="0069259F">
        <w:tc>
          <w:tcPr>
            <w:tcW w:w="713" w:type="dxa"/>
            <w:tcBorders>
              <w:top w:val="single" w:sz="6" w:space="0" w:color="auto"/>
            </w:tcBorders>
            <w:shd w:val="clear" w:color="auto" w:fill="auto"/>
          </w:tcPr>
          <w:p w14:paraId="60B3E391" w14:textId="77777777" w:rsidR="00F85C99" w:rsidRPr="002F6A28" w:rsidRDefault="00A4000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02E24D7" w14:textId="77777777" w:rsidR="00F85C99" w:rsidRPr="002F6A28" w:rsidRDefault="00A4000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5482CEA" w14:textId="77777777" w:rsidR="005660A7" w:rsidRPr="002F6A28" w:rsidRDefault="00A40001" w:rsidP="00B16145">
            <w:pPr>
              <w:keepNext/>
              <w:keepLines/>
              <w:spacing w:before="120" w:after="120"/>
            </w:pPr>
            <w:r w:rsidRPr="002F6A28">
              <w:t xml:space="preserve">The proposed standard and consultation documents are available here: </w:t>
            </w:r>
            <w:hyperlink r:id="rId10" w:history="1">
              <w:r w:rsidRPr="002F6A28">
                <w:rPr>
                  <w:color w:val="0000FF"/>
                  <w:u w:val="single"/>
                </w:rPr>
                <w:t>https://consultations.health.gov.au/medicines-regulation-division/consultation-tgo106-data-matrix-codes-on-medicines/</w:t>
              </w:r>
            </w:hyperlink>
            <w:r w:rsidRPr="002F6A28">
              <w:t>.</w:t>
            </w:r>
          </w:p>
          <w:p w14:paraId="2CEFDA8F" w14:textId="77777777" w:rsidR="005660A7" w:rsidRPr="002F6A28" w:rsidRDefault="004F601C" w:rsidP="00B16145">
            <w:pPr>
              <w:keepNext/>
              <w:keepLines/>
              <w:spacing w:before="120" w:after="120"/>
            </w:pPr>
            <w:hyperlink r:id="rId11" w:history="1">
              <w:r w:rsidR="00A40001" w:rsidRPr="002F6A28">
                <w:rPr>
                  <w:color w:val="0000FF"/>
                  <w:u w:val="single"/>
                </w:rPr>
                <w:t>https://consultations.health.gov.au/medicines-regulation-division/consultation-tgo106-data-matrix-codes-on-medicines/</w:t>
              </w:r>
            </w:hyperlink>
            <w:bookmarkEnd w:id="41"/>
          </w:p>
        </w:tc>
      </w:tr>
    </w:tbl>
    <w:p w14:paraId="0F6A2C30"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2D80" w14:textId="77777777" w:rsidR="00053247" w:rsidRDefault="00A40001">
      <w:r>
        <w:separator/>
      </w:r>
    </w:p>
  </w:endnote>
  <w:endnote w:type="continuationSeparator" w:id="0">
    <w:p w14:paraId="1E92EFE0" w14:textId="77777777" w:rsidR="00053247" w:rsidRDefault="00A4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B927" w14:textId="77777777" w:rsidR="009239F7" w:rsidRPr="002F6A28" w:rsidRDefault="00A4000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4372" w14:textId="77777777" w:rsidR="009239F7" w:rsidRPr="002F6A28" w:rsidRDefault="00A4000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27EC" w14:textId="77777777" w:rsidR="00EE3A11" w:rsidRPr="002F6A28" w:rsidRDefault="00A4000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20E1" w14:textId="77777777" w:rsidR="00053247" w:rsidRDefault="00A40001">
      <w:r>
        <w:separator/>
      </w:r>
    </w:p>
  </w:footnote>
  <w:footnote w:type="continuationSeparator" w:id="0">
    <w:p w14:paraId="38DEFD3C" w14:textId="77777777" w:rsidR="00053247" w:rsidRDefault="00A4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575A" w14:textId="77777777" w:rsidR="009239F7" w:rsidRPr="002F6A28" w:rsidRDefault="00A40001" w:rsidP="009239F7">
    <w:pPr>
      <w:pStyle w:val="Header"/>
      <w:pBdr>
        <w:bottom w:val="single" w:sz="4" w:space="1" w:color="auto"/>
      </w:pBdr>
      <w:tabs>
        <w:tab w:val="clear" w:pos="4513"/>
        <w:tab w:val="clear" w:pos="9027"/>
      </w:tabs>
      <w:jc w:val="center"/>
    </w:pPr>
    <w:r w:rsidRPr="002F6A28">
      <w:t>tbtSymbol</w:t>
    </w:r>
  </w:p>
  <w:p w14:paraId="1053E09B" w14:textId="77777777" w:rsidR="009239F7" w:rsidRPr="002F6A28" w:rsidRDefault="009239F7" w:rsidP="009239F7">
    <w:pPr>
      <w:pStyle w:val="Header"/>
      <w:pBdr>
        <w:bottom w:val="single" w:sz="4" w:space="1" w:color="auto"/>
      </w:pBdr>
      <w:tabs>
        <w:tab w:val="clear" w:pos="4513"/>
        <w:tab w:val="clear" w:pos="9027"/>
      </w:tabs>
      <w:jc w:val="center"/>
    </w:pPr>
  </w:p>
  <w:p w14:paraId="7CDC43AA" w14:textId="77777777" w:rsidR="009239F7" w:rsidRPr="002F6A28" w:rsidRDefault="00A400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91CDB2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5D06" w14:textId="77777777" w:rsidR="009239F7" w:rsidRPr="002F6A28" w:rsidRDefault="00A40001" w:rsidP="009239F7">
    <w:pPr>
      <w:pStyle w:val="Header"/>
      <w:pBdr>
        <w:bottom w:val="single" w:sz="4" w:space="1" w:color="auto"/>
      </w:pBdr>
      <w:tabs>
        <w:tab w:val="clear" w:pos="4513"/>
        <w:tab w:val="clear" w:pos="9027"/>
      </w:tabs>
      <w:jc w:val="center"/>
    </w:pPr>
    <w:bookmarkStart w:id="42" w:name="spsSymbolHeader"/>
    <w:r w:rsidRPr="002F6A28">
      <w:t>G/TBT/N/AUS/126</w:t>
    </w:r>
    <w:bookmarkEnd w:id="42"/>
  </w:p>
  <w:p w14:paraId="189085E0" w14:textId="77777777" w:rsidR="009239F7" w:rsidRPr="002F6A28" w:rsidRDefault="009239F7" w:rsidP="009239F7">
    <w:pPr>
      <w:pStyle w:val="Header"/>
      <w:pBdr>
        <w:bottom w:val="single" w:sz="4" w:space="1" w:color="auto"/>
      </w:pBdr>
      <w:tabs>
        <w:tab w:val="clear" w:pos="4513"/>
        <w:tab w:val="clear" w:pos="9027"/>
      </w:tabs>
      <w:jc w:val="center"/>
    </w:pPr>
  </w:p>
  <w:p w14:paraId="7B6C9BEB" w14:textId="77777777" w:rsidR="009239F7" w:rsidRPr="002F6A28" w:rsidRDefault="00A400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A6736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7DDE" w14:paraId="5ADF9950" w14:textId="77777777" w:rsidTr="008612A9">
      <w:trPr>
        <w:trHeight w:val="240"/>
        <w:jc w:val="center"/>
      </w:trPr>
      <w:tc>
        <w:tcPr>
          <w:tcW w:w="3794" w:type="dxa"/>
          <w:shd w:val="clear" w:color="auto" w:fill="FFFFFF"/>
          <w:tcMar>
            <w:left w:w="108" w:type="dxa"/>
            <w:right w:w="108" w:type="dxa"/>
          </w:tcMar>
          <w:vAlign w:val="center"/>
        </w:tcPr>
        <w:p w14:paraId="5B72B80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B0B4840" w14:textId="77777777" w:rsidR="00ED54E0" w:rsidRPr="009239F7" w:rsidRDefault="00ED54E0" w:rsidP="00B801E9">
          <w:pPr>
            <w:jc w:val="right"/>
            <w:rPr>
              <w:b/>
              <w:color w:val="FF0000"/>
              <w:szCs w:val="16"/>
            </w:rPr>
          </w:pPr>
        </w:p>
      </w:tc>
    </w:tr>
    <w:bookmarkEnd w:id="43"/>
    <w:tr w:rsidR="00787DDE" w14:paraId="17FF21A9" w14:textId="77777777" w:rsidTr="008612A9">
      <w:trPr>
        <w:trHeight w:val="213"/>
        <w:jc w:val="center"/>
      </w:trPr>
      <w:tc>
        <w:tcPr>
          <w:tcW w:w="3794" w:type="dxa"/>
          <w:vMerge w:val="restart"/>
          <w:shd w:val="clear" w:color="auto" w:fill="FFFFFF"/>
          <w:tcMar>
            <w:left w:w="0" w:type="dxa"/>
            <w:right w:w="0" w:type="dxa"/>
          </w:tcMar>
        </w:tcPr>
        <w:p w14:paraId="4F0978A4" w14:textId="77777777" w:rsidR="00ED54E0" w:rsidRPr="009239F7" w:rsidRDefault="00A40001" w:rsidP="00B801E9">
          <w:pPr>
            <w:jc w:val="left"/>
          </w:pPr>
          <w:r>
            <w:rPr>
              <w:noProof/>
              <w:lang w:eastAsia="en-GB"/>
            </w:rPr>
            <w:drawing>
              <wp:inline distT="0" distB="0" distL="0" distR="0" wp14:anchorId="35BE782D" wp14:editId="671529B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920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65F89B" w14:textId="77777777" w:rsidR="00ED54E0" w:rsidRPr="009239F7" w:rsidRDefault="00ED54E0" w:rsidP="00B801E9">
          <w:pPr>
            <w:jc w:val="right"/>
            <w:rPr>
              <w:b/>
              <w:szCs w:val="16"/>
            </w:rPr>
          </w:pPr>
        </w:p>
      </w:tc>
    </w:tr>
    <w:tr w:rsidR="00787DDE" w14:paraId="063CEBF5" w14:textId="77777777" w:rsidTr="008612A9">
      <w:trPr>
        <w:trHeight w:val="868"/>
        <w:jc w:val="center"/>
      </w:trPr>
      <w:tc>
        <w:tcPr>
          <w:tcW w:w="3794" w:type="dxa"/>
          <w:vMerge/>
          <w:shd w:val="clear" w:color="auto" w:fill="FFFFFF"/>
          <w:tcMar>
            <w:left w:w="108" w:type="dxa"/>
            <w:right w:w="108" w:type="dxa"/>
          </w:tcMar>
        </w:tcPr>
        <w:p w14:paraId="31BB119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09E5C04" w14:textId="77777777" w:rsidR="009239F7" w:rsidRPr="002F6A28" w:rsidRDefault="00A40001" w:rsidP="00B801E9">
          <w:pPr>
            <w:jc w:val="right"/>
            <w:rPr>
              <w:b/>
              <w:szCs w:val="16"/>
            </w:rPr>
          </w:pPr>
          <w:bookmarkStart w:id="44" w:name="bmkSymbols"/>
          <w:r w:rsidRPr="002F6A28">
            <w:rPr>
              <w:b/>
              <w:szCs w:val="16"/>
            </w:rPr>
            <w:t>G/TBT/N/AUS/126</w:t>
          </w:r>
          <w:bookmarkEnd w:id="44"/>
        </w:p>
      </w:tc>
    </w:tr>
    <w:tr w:rsidR="00787DDE" w14:paraId="40022255" w14:textId="77777777" w:rsidTr="008612A9">
      <w:trPr>
        <w:trHeight w:val="240"/>
        <w:jc w:val="center"/>
      </w:trPr>
      <w:tc>
        <w:tcPr>
          <w:tcW w:w="3794" w:type="dxa"/>
          <w:vMerge/>
          <w:shd w:val="clear" w:color="auto" w:fill="FFFFFF"/>
          <w:tcMar>
            <w:left w:w="108" w:type="dxa"/>
            <w:right w:w="108" w:type="dxa"/>
          </w:tcMar>
          <w:vAlign w:val="center"/>
        </w:tcPr>
        <w:p w14:paraId="6A34DC0F" w14:textId="77777777" w:rsidR="00ED54E0" w:rsidRPr="009239F7" w:rsidRDefault="00ED54E0" w:rsidP="00B801E9"/>
      </w:tc>
      <w:tc>
        <w:tcPr>
          <w:tcW w:w="5448" w:type="dxa"/>
          <w:gridSpan w:val="2"/>
          <w:shd w:val="clear" w:color="auto" w:fill="FFFFFF"/>
          <w:tcMar>
            <w:left w:w="108" w:type="dxa"/>
            <w:right w:w="108" w:type="dxa"/>
          </w:tcMar>
          <w:vAlign w:val="center"/>
        </w:tcPr>
        <w:p w14:paraId="08EB2549" w14:textId="38FFD983" w:rsidR="00ED54E0" w:rsidRPr="009239F7" w:rsidRDefault="00A40001" w:rsidP="00B801E9">
          <w:pPr>
            <w:jc w:val="right"/>
            <w:rPr>
              <w:szCs w:val="16"/>
            </w:rPr>
          </w:pPr>
          <w:bookmarkStart w:id="45" w:name="spsDateDistribution"/>
          <w:bookmarkStart w:id="46" w:name="bmkDate"/>
          <w:bookmarkEnd w:id="45"/>
          <w:bookmarkEnd w:id="46"/>
          <w:r>
            <w:rPr>
              <w:szCs w:val="16"/>
            </w:rPr>
            <w:t>9 November 2020</w:t>
          </w:r>
        </w:p>
      </w:tc>
    </w:tr>
    <w:tr w:rsidR="00787DDE" w14:paraId="43DBA0A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EBF54A" w14:textId="6E77A8E9" w:rsidR="00ED54E0" w:rsidRPr="009239F7" w:rsidRDefault="00A4000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4F601C">
            <w:rPr>
              <w:color w:val="FF0000"/>
              <w:szCs w:val="16"/>
            </w:rPr>
            <w:t>7959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32DECA0" w14:textId="77777777" w:rsidR="00ED54E0" w:rsidRPr="009239F7" w:rsidRDefault="00A4000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87DDE" w14:paraId="2A8BB46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AFCBB6" w14:textId="77777777" w:rsidR="00ED54E0" w:rsidRPr="009239F7" w:rsidRDefault="00A4000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226EE2C" w14:textId="77777777" w:rsidR="00ED54E0" w:rsidRPr="002F6A28" w:rsidRDefault="00A4000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C95740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BA140C">
      <w:start w:val="1"/>
      <w:numFmt w:val="decimal"/>
      <w:pStyle w:val="SummaryText"/>
      <w:lvlText w:val="%1."/>
      <w:lvlJc w:val="left"/>
      <w:pPr>
        <w:ind w:left="360" w:hanging="360"/>
      </w:pPr>
    </w:lvl>
    <w:lvl w:ilvl="1" w:tplc="78BA1042" w:tentative="1">
      <w:start w:val="1"/>
      <w:numFmt w:val="lowerLetter"/>
      <w:lvlText w:val="%2."/>
      <w:lvlJc w:val="left"/>
      <w:pPr>
        <w:ind w:left="1080" w:hanging="360"/>
      </w:pPr>
    </w:lvl>
    <w:lvl w:ilvl="2" w:tplc="F112E85E" w:tentative="1">
      <w:start w:val="1"/>
      <w:numFmt w:val="lowerRoman"/>
      <w:lvlText w:val="%3."/>
      <w:lvlJc w:val="right"/>
      <w:pPr>
        <w:ind w:left="1800" w:hanging="180"/>
      </w:pPr>
    </w:lvl>
    <w:lvl w:ilvl="3" w:tplc="1BBEA096" w:tentative="1">
      <w:start w:val="1"/>
      <w:numFmt w:val="decimal"/>
      <w:lvlText w:val="%4."/>
      <w:lvlJc w:val="left"/>
      <w:pPr>
        <w:ind w:left="2520" w:hanging="360"/>
      </w:pPr>
    </w:lvl>
    <w:lvl w:ilvl="4" w:tplc="15BAC56C" w:tentative="1">
      <w:start w:val="1"/>
      <w:numFmt w:val="lowerLetter"/>
      <w:lvlText w:val="%5."/>
      <w:lvlJc w:val="left"/>
      <w:pPr>
        <w:ind w:left="3240" w:hanging="360"/>
      </w:pPr>
    </w:lvl>
    <w:lvl w:ilvl="5" w:tplc="48B0D770" w:tentative="1">
      <w:start w:val="1"/>
      <w:numFmt w:val="lowerRoman"/>
      <w:lvlText w:val="%6."/>
      <w:lvlJc w:val="right"/>
      <w:pPr>
        <w:ind w:left="3960" w:hanging="180"/>
      </w:pPr>
    </w:lvl>
    <w:lvl w:ilvl="6" w:tplc="75D4E244" w:tentative="1">
      <w:start w:val="1"/>
      <w:numFmt w:val="decimal"/>
      <w:lvlText w:val="%7."/>
      <w:lvlJc w:val="left"/>
      <w:pPr>
        <w:ind w:left="4680" w:hanging="360"/>
      </w:pPr>
    </w:lvl>
    <w:lvl w:ilvl="7" w:tplc="CCBA7FA0" w:tentative="1">
      <w:start w:val="1"/>
      <w:numFmt w:val="lowerLetter"/>
      <w:lvlText w:val="%8."/>
      <w:lvlJc w:val="left"/>
      <w:pPr>
        <w:ind w:left="5400" w:hanging="360"/>
      </w:pPr>
    </w:lvl>
    <w:lvl w:ilvl="8" w:tplc="8DB4CD7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4B0FAC0">
      <w:start w:val="1"/>
      <w:numFmt w:val="bullet"/>
      <w:lvlText w:val=""/>
      <w:lvlJc w:val="left"/>
      <w:pPr>
        <w:ind w:left="720" w:hanging="360"/>
      </w:pPr>
      <w:rPr>
        <w:rFonts w:ascii="Symbol" w:hAnsi="Symbol"/>
      </w:rPr>
    </w:lvl>
    <w:lvl w:ilvl="1" w:tplc="41D03EB8">
      <w:start w:val="1"/>
      <w:numFmt w:val="bullet"/>
      <w:lvlText w:val="o"/>
      <w:lvlJc w:val="left"/>
      <w:pPr>
        <w:tabs>
          <w:tab w:val="num" w:pos="1440"/>
        </w:tabs>
        <w:ind w:left="1440" w:hanging="360"/>
      </w:pPr>
      <w:rPr>
        <w:rFonts w:ascii="Courier New" w:hAnsi="Courier New"/>
      </w:rPr>
    </w:lvl>
    <w:lvl w:ilvl="2" w:tplc="A3349A52">
      <w:start w:val="1"/>
      <w:numFmt w:val="bullet"/>
      <w:lvlText w:val=""/>
      <w:lvlJc w:val="left"/>
      <w:pPr>
        <w:tabs>
          <w:tab w:val="num" w:pos="2160"/>
        </w:tabs>
        <w:ind w:left="2160" w:hanging="360"/>
      </w:pPr>
      <w:rPr>
        <w:rFonts w:ascii="Wingdings" w:hAnsi="Wingdings"/>
      </w:rPr>
    </w:lvl>
    <w:lvl w:ilvl="3" w:tplc="CB5E55E4">
      <w:start w:val="1"/>
      <w:numFmt w:val="bullet"/>
      <w:lvlText w:val=""/>
      <w:lvlJc w:val="left"/>
      <w:pPr>
        <w:tabs>
          <w:tab w:val="num" w:pos="2880"/>
        </w:tabs>
        <w:ind w:left="2880" w:hanging="360"/>
      </w:pPr>
      <w:rPr>
        <w:rFonts w:ascii="Symbol" w:hAnsi="Symbol"/>
      </w:rPr>
    </w:lvl>
    <w:lvl w:ilvl="4" w:tplc="671642D6">
      <w:start w:val="1"/>
      <w:numFmt w:val="bullet"/>
      <w:lvlText w:val="o"/>
      <w:lvlJc w:val="left"/>
      <w:pPr>
        <w:tabs>
          <w:tab w:val="num" w:pos="3600"/>
        </w:tabs>
        <w:ind w:left="3600" w:hanging="360"/>
      </w:pPr>
      <w:rPr>
        <w:rFonts w:ascii="Courier New" w:hAnsi="Courier New"/>
      </w:rPr>
    </w:lvl>
    <w:lvl w:ilvl="5" w:tplc="8CA8A918">
      <w:start w:val="1"/>
      <w:numFmt w:val="bullet"/>
      <w:lvlText w:val=""/>
      <w:lvlJc w:val="left"/>
      <w:pPr>
        <w:tabs>
          <w:tab w:val="num" w:pos="4320"/>
        </w:tabs>
        <w:ind w:left="4320" w:hanging="360"/>
      </w:pPr>
      <w:rPr>
        <w:rFonts w:ascii="Wingdings" w:hAnsi="Wingdings"/>
      </w:rPr>
    </w:lvl>
    <w:lvl w:ilvl="6" w:tplc="7E760B92">
      <w:start w:val="1"/>
      <w:numFmt w:val="bullet"/>
      <w:lvlText w:val=""/>
      <w:lvlJc w:val="left"/>
      <w:pPr>
        <w:tabs>
          <w:tab w:val="num" w:pos="5040"/>
        </w:tabs>
        <w:ind w:left="5040" w:hanging="360"/>
      </w:pPr>
      <w:rPr>
        <w:rFonts w:ascii="Symbol" w:hAnsi="Symbol"/>
      </w:rPr>
    </w:lvl>
    <w:lvl w:ilvl="7" w:tplc="5B9A9BA6">
      <w:start w:val="1"/>
      <w:numFmt w:val="bullet"/>
      <w:lvlText w:val="o"/>
      <w:lvlJc w:val="left"/>
      <w:pPr>
        <w:tabs>
          <w:tab w:val="num" w:pos="5760"/>
        </w:tabs>
        <w:ind w:left="5760" w:hanging="360"/>
      </w:pPr>
      <w:rPr>
        <w:rFonts w:ascii="Courier New" w:hAnsi="Courier New"/>
      </w:rPr>
    </w:lvl>
    <w:lvl w:ilvl="8" w:tplc="9870785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3247"/>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27F6"/>
    <w:rsid w:val="004C27A4"/>
    <w:rsid w:val="004E51B2"/>
    <w:rsid w:val="004F203A"/>
    <w:rsid w:val="004F601C"/>
    <w:rsid w:val="005104AF"/>
    <w:rsid w:val="005336B8"/>
    <w:rsid w:val="00533DC1"/>
    <w:rsid w:val="0054317D"/>
    <w:rsid w:val="00545ACF"/>
    <w:rsid w:val="00547B5F"/>
    <w:rsid w:val="00564605"/>
    <w:rsid w:val="005660A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7DD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000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3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health.gov.au/medicines-regulation-division/consultation-tgo106-data-matrix-codes-on-medici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s.health.gov.au/medicines-regulation-division/consultation-tgo106-data-matrix-codes-on-medicin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sultations.health.gov.au/medicines-regulation-division/consultation-tgo106-data-matrix-codes-on-medici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sultations.health.gov.au/medicines-regulation-division/consultation-tgo106-data-matrix-codes-on-medicin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4058</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2020-11-09T08:54:00Z</dcterms:created>
  <dcterms:modified xsi:type="dcterms:W3CDTF">2020-11-09T10:08:00Z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cdc2f9de-35e6-4624-9d6b-135fcfac154e</vt:lpwstr>
  </property>
  <property fmtid="{D5CDD505-2E9C-101B-9397-08002B2CF9AE}" pid="4" name="WTOCLASSIFICATION">
    <vt:lpwstr>WTO OFFICIAL</vt:lpwstr>
  </property>
</Properties>
</file>