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B5A57" w:rsidP="002F6A28">
      <w:pPr>
        <w:pStyle w:val="Title"/>
        <w:rPr>
          <w:caps w:val="0"/>
          <w:kern w:val="0"/>
        </w:rPr>
      </w:pPr>
      <w:r w:rsidRPr="002F6A28">
        <w:rPr>
          <w:caps w:val="0"/>
          <w:kern w:val="0"/>
        </w:rPr>
        <w:t>NOTIFICATION</w:t>
      </w:r>
    </w:p>
    <w:p w:rsidR="009239F7" w:rsidRPr="002F6A28" w:rsidRDefault="000B5A57"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D6DC3" w:rsidTr="0069259F">
        <w:tc>
          <w:tcPr>
            <w:tcW w:w="713" w:type="dxa"/>
            <w:tcBorders>
              <w:bottom w:val="single" w:sz="6" w:space="0" w:color="auto"/>
            </w:tcBorders>
            <w:shd w:val="clear" w:color="auto" w:fill="auto"/>
          </w:tcPr>
          <w:p w:rsidR="00F85C99" w:rsidRPr="002F6A28" w:rsidRDefault="000B5A5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B5A5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Australia</w:t>
            </w:r>
            <w:bookmarkEnd w:id="1"/>
            <w:r w:rsidRPr="002F6A28">
              <w:t xml:space="preserve"> </w:t>
            </w:r>
          </w:p>
          <w:p w:rsidR="00F85C99" w:rsidRPr="002F6A28" w:rsidRDefault="000B5A5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D6DC3" w:rsidTr="0069259F">
        <w:tc>
          <w:tcPr>
            <w:tcW w:w="713" w:type="dxa"/>
            <w:tcBorders>
              <w:top w:val="single" w:sz="6" w:space="0" w:color="auto"/>
              <w:bottom w:val="single" w:sz="6" w:space="0" w:color="auto"/>
            </w:tcBorders>
            <w:shd w:val="clear" w:color="auto" w:fill="auto"/>
          </w:tcPr>
          <w:p w:rsidR="00F85C99" w:rsidRPr="002F6A28" w:rsidRDefault="000B5A5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B5A5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Australian Competition and Consumer Commission</w:t>
            </w:r>
            <w:bookmarkEnd w:id="5"/>
          </w:p>
          <w:p w:rsidR="00F85C99" w:rsidRPr="002F6A28" w:rsidRDefault="000B5A5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640C79" w:rsidRPr="002F6A28" w:rsidRDefault="00D827B6" w:rsidP="00AA646C">
            <w:pPr>
              <w:spacing w:after="120"/>
            </w:pPr>
            <w:hyperlink r:id="rId7" w:history="1">
              <w:r w:rsidR="000B5A57" w:rsidRPr="002F6A28">
                <w:rPr>
                  <w:color w:val="0000FF"/>
                  <w:u w:val="single"/>
                </w:rPr>
                <w:t>tbt.enquiry@dfat.gov.au</w:t>
              </w:r>
            </w:hyperlink>
            <w:bookmarkEnd w:id="7"/>
          </w:p>
        </w:tc>
      </w:tr>
      <w:tr w:rsidR="00FD6DC3" w:rsidTr="0069259F">
        <w:tc>
          <w:tcPr>
            <w:tcW w:w="713" w:type="dxa"/>
            <w:tcBorders>
              <w:top w:val="single" w:sz="6" w:space="0" w:color="auto"/>
              <w:bottom w:val="single" w:sz="6" w:space="0" w:color="auto"/>
            </w:tcBorders>
            <w:shd w:val="clear" w:color="auto" w:fill="auto"/>
          </w:tcPr>
          <w:p w:rsidR="00F85C99" w:rsidRPr="002F6A28" w:rsidRDefault="000B5A5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0B5A5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D6DC3" w:rsidTr="0069259F">
        <w:tc>
          <w:tcPr>
            <w:tcW w:w="713" w:type="dxa"/>
            <w:tcBorders>
              <w:top w:val="single" w:sz="6" w:space="0" w:color="auto"/>
              <w:bottom w:val="single" w:sz="6" w:space="0" w:color="auto"/>
            </w:tcBorders>
            <w:shd w:val="clear" w:color="auto" w:fill="auto"/>
          </w:tcPr>
          <w:p w:rsidR="00F85C99" w:rsidRPr="002F6A28" w:rsidRDefault="000B5A5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B5A5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The draft regulations apply to consumer goods that use or contain a button cell or coin cell battery and button cell and coin cell batteries themselves, including: - consumer goods powered by button batteries, as well as accessories such as remote controls - consumer goods intended to store button cell or coin cell batteries, such as storage containers, and organisers - button cell and coin cell batteries (small, single cell batteries that have a diameter greater than their height) - button cell or coin cell batteries individually packaged and where multiple batteries are packaged together - button cell or coin cell batteries that are supplied together with a consumer good (whether pre-installed in the product or otherwise); Primary cells and primary batteries (HS 8506); Electro-mechanical domestic appliances, with self-contained electric motor (HS 8509); Shavers and hair clippers, with self-contained electric motor (HS 8510); Portable electric lamps designed to function by their own source of energy (for example, dry batteries, accumulators, magnetos), other than lighting equipment of heading No. 8512 (HS 8513); Microphones and stands therefor (HS 851810); Headphones, earphones and combined microphone / speaker sets (HS 851830); Parts (HS 851890); Parts and accessories of apparatus of headings Nos. 8519 to 8521 (HS 8522); Parts (HS 854390); Electrical parts of machinery or apparatus, not specified or included elsewhere in this Chapter (HS 8548); Other parts and accessories of bodies (including cabs): (HS 87082); Other parts and accessories: (HS 87089); Of motorcycles (including mopeds): (HS 87141); Other: (HS 87149); Frames and forks, and parts thereof (HS 871491); Wheel rims and spokes (HS 871492); Hubs, other than coaster braking hubs and hub brakes, and free-wheel sprocket-wheels (HS 871493); Brakes, including coaster braking hubs and hub brakes, and parts thereof (HS 871494); Saddles (HS 871495); Pedals and crank-gear, and parts thereof (HS 871496); Other (HS 871499); Photographic (other than cinematographic) cameras; photographic flashlight apparatus and flashbulbs other than discharge lamps of heading No. 8539 (HS 9006); Drawing, marking-out or mathematical calculating instruments (for example, drafting machines, pantographs, protractors, drawing sets, slide rules, disc calculators); instruments for measuring length, for use in the hand (for example, measuring rods and tapes, micrometers, callipers), not specified or included elsewhere in this Chapter (HS 9017); Hearing aids, excluding parts and accessories (HS 902140); Thermometers, not combined with other instruments: (HS 90251); Revolution counters, production counters, taximeters, mileometers, pedometers and the like (HS 902910); Parts and accessories </w:t>
            </w:r>
            <w:r w:rsidR="00EE3A11" w:rsidRPr="00C379C8">
              <w:lastRenderedPageBreak/>
              <w:t>(HS 902990); Parts and accessories (not specified or included elsewhere in this Chapter) for machines, appliances, instruments or apparatus of Chapter 90 (HS 9033); Wrist-watches, pocket-watches and other watches, including stop-watches, with case of precious metal or of metal clad with precious metal (HS 9101); Wrist-watches, pocket-watches and other watches, including stop-watches, other than those of heading No. 9101 (HS 9102); Other clocks (HS 9105); Battery or accumulator powered: (HS 91081); Clock movements, complete and assembled (HS 9109); Other clock or watch parts (HS 9114); Musical instruments, the sound of which is produced, or must be amplified, electrically (for example, organs, guitars, accordions) (HS 9207); Lamps and lighting fittings including searchlights and spotlights and parts thereof, not elsewhere specified or included; illuminated signs, illuminated name-plates and the like, having a permanently fixed light source, and parts thereof not elsewhere specified or included (HS 9405); Electric trains, including tracks, signals and other accessories therefor (HS 950310); Reduced-size ('scale') model assembly kits, whether or not working models, excluding those of subheading 9503.10 (HS 950320); Other construction sets and constructional toys (HS 950330); Toys representing animals or non-human creatures: (HS 95034); Toy musical instruments and apparatus (HS 950350); Other toys, put up in sets or outfits (HS 950370); Other toys and models, incorporating a motor (HS 950380); Other (HS 950390); Festive, carnival or other entertainment articles, including conjuring tricks and novelty jokes (HS 9505)</w:t>
            </w:r>
            <w:bookmarkStart w:id="20" w:name="sps3a"/>
            <w:bookmarkEnd w:id="20"/>
          </w:p>
        </w:tc>
      </w:tr>
      <w:tr w:rsidR="00FD6DC3" w:rsidTr="0069259F">
        <w:tc>
          <w:tcPr>
            <w:tcW w:w="713" w:type="dxa"/>
            <w:tcBorders>
              <w:top w:val="single" w:sz="6" w:space="0" w:color="auto"/>
              <w:bottom w:val="single" w:sz="6" w:space="0" w:color="auto"/>
            </w:tcBorders>
            <w:shd w:val="clear" w:color="auto" w:fill="auto"/>
          </w:tcPr>
          <w:p w:rsidR="00F85C99" w:rsidRPr="002F6A28" w:rsidRDefault="000B5A57" w:rsidP="002F6A28">
            <w:pPr>
              <w:spacing w:before="120" w:after="120"/>
              <w:jc w:val="left"/>
            </w:pPr>
            <w:r w:rsidRPr="002F6A28">
              <w:rPr>
                <w:b/>
              </w:rPr>
              <w:lastRenderedPageBreak/>
              <w:t>5.</w:t>
            </w:r>
          </w:p>
        </w:tc>
        <w:tc>
          <w:tcPr>
            <w:tcW w:w="8546" w:type="dxa"/>
            <w:tcBorders>
              <w:top w:val="single" w:sz="6" w:space="0" w:color="auto"/>
              <w:bottom w:val="single" w:sz="6" w:space="0" w:color="auto"/>
            </w:tcBorders>
            <w:shd w:val="clear" w:color="auto" w:fill="auto"/>
          </w:tcPr>
          <w:p w:rsidR="00F85C99" w:rsidRPr="002F6A28" w:rsidRDefault="000B5A5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Australian mandatory safety and information standards - proposed requirements for consumer goods containing button and coin cell batteries and button and coin cell batteries themselves. (14 page(s), in English)</w:t>
            </w:r>
            <w:bookmarkStart w:id="22" w:name="sps5a"/>
            <w:bookmarkStart w:id="23" w:name="sps5c"/>
            <w:bookmarkStart w:id="24" w:name="sps5b"/>
            <w:bookmarkEnd w:id="22"/>
            <w:bookmarkEnd w:id="23"/>
            <w:bookmarkEnd w:id="24"/>
          </w:p>
        </w:tc>
      </w:tr>
      <w:tr w:rsidR="00FD6DC3" w:rsidTr="0069259F">
        <w:tc>
          <w:tcPr>
            <w:tcW w:w="713" w:type="dxa"/>
            <w:tcBorders>
              <w:top w:val="single" w:sz="6" w:space="0" w:color="auto"/>
              <w:bottom w:val="single" w:sz="6" w:space="0" w:color="auto"/>
            </w:tcBorders>
            <w:shd w:val="clear" w:color="auto" w:fill="auto"/>
          </w:tcPr>
          <w:p w:rsidR="00F85C99" w:rsidRPr="002F6A28" w:rsidRDefault="000B5A5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B5A5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Australian mandatory safety and information standards specify requirements for consumer goods containing button and coin cell batteries and button and coin cell batteries themselves</w:t>
            </w:r>
          </w:p>
          <w:p w:rsidR="00FE448B" w:rsidRPr="00C379C8" w:rsidRDefault="000B5A57" w:rsidP="002F6A28">
            <w:pPr>
              <w:numPr>
                <w:ilvl w:val="0"/>
                <w:numId w:val="16"/>
              </w:numPr>
              <w:spacing w:before="120" w:after="120"/>
              <w:jc w:val="left"/>
            </w:pPr>
            <w:r w:rsidRPr="00C379C8">
              <w:t>The safety standard for consumer goods containing button and coin cell batteries specifies requirements for consumer goods that use/contain button/coin cell batteries to be designed to eliminate child accessibility to the button/coin cell batteries, including that the batteries shall be secure and not release the batteries during normal and foreseeable use and abuse conditions.</w:t>
            </w:r>
          </w:p>
          <w:p w:rsidR="00FE448B" w:rsidRPr="00C379C8" w:rsidRDefault="000B5A57" w:rsidP="002F6A28">
            <w:pPr>
              <w:numPr>
                <w:ilvl w:val="0"/>
                <w:numId w:val="16"/>
              </w:numPr>
              <w:spacing w:before="120" w:after="120"/>
              <w:jc w:val="left"/>
            </w:pPr>
            <w:r w:rsidRPr="00C379C8">
              <w:t>The safety standard for button and coin cell batteries specifies requirements for child-resistant packaging of button and coin cell batteries.</w:t>
            </w:r>
          </w:p>
          <w:p w:rsidR="00FE448B" w:rsidRPr="00C379C8" w:rsidRDefault="000B5A57" w:rsidP="002F6A28">
            <w:pPr>
              <w:numPr>
                <w:ilvl w:val="0"/>
                <w:numId w:val="16"/>
              </w:numPr>
              <w:spacing w:before="120" w:after="120"/>
              <w:jc w:val="left"/>
            </w:pPr>
            <w:r w:rsidRPr="00C379C8">
              <w:t>The information standard for consumers goods containing button and coin cell batteries specifies requirements for warnings and information on packaging, instructions and at the retail point of sale for unpackaged products.</w:t>
            </w:r>
          </w:p>
          <w:p w:rsidR="00FE448B" w:rsidRPr="00C379C8" w:rsidRDefault="000B5A57" w:rsidP="002F6A28">
            <w:pPr>
              <w:numPr>
                <w:ilvl w:val="0"/>
                <w:numId w:val="16"/>
              </w:numPr>
              <w:spacing w:before="120" w:after="120"/>
              <w:jc w:val="left"/>
            </w:pPr>
            <w:r w:rsidRPr="00C379C8">
              <w:t>The information standard for button and coin cell batteries specifies requirements for warnings and information on the packaging of button and coin cell batteries and for markings on certain coin cell batteries.</w:t>
            </w:r>
          </w:p>
        </w:tc>
      </w:tr>
      <w:tr w:rsidR="00FD6DC3" w:rsidTr="0069259F">
        <w:tc>
          <w:tcPr>
            <w:tcW w:w="713" w:type="dxa"/>
            <w:tcBorders>
              <w:top w:val="single" w:sz="6" w:space="0" w:color="auto"/>
              <w:bottom w:val="single" w:sz="6" w:space="0" w:color="auto"/>
            </w:tcBorders>
            <w:shd w:val="clear" w:color="auto" w:fill="auto"/>
          </w:tcPr>
          <w:p w:rsidR="00F85C99" w:rsidRPr="002F6A28" w:rsidRDefault="000B5A5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B5A5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Button and coin cell batteries pose a severe injury risk, particularly for young children. When lodged in the body and in contact with bodily fluid, button and coin cell batteries can burn through tissue and cause catastrophic bleeding. Further information is available at: </w:t>
            </w:r>
            <w:hyperlink r:id="rId8" w:history="1">
              <w:r w:rsidR="00EE3A11" w:rsidRPr="00C379C8">
                <w:rPr>
                  <w:color w:val="0000FF"/>
                  <w:u w:val="single"/>
                </w:rPr>
                <w:t>https://www.productsafety.gov.au/products/electronics-technology/button-batteries</w:t>
              </w:r>
            </w:hyperlink>
            <w:r w:rsidR="00EE3A11" w:rsidRPr="00C379C8">
              <w:t>; Protection of human health or safety</w:t>
            </w:r>
            <w:bookmarkStart w:id="27" w:name="sps7f"/>
            <w:bookmarkEnd w:id="27"/>
          </w:p>
        </w:tc>
      </w:tr>
      <w:tr w:rsidR="00FD6DC3" w:rsidTr="0069259F">
        <w:tc>
          <w:tcPr>
            <w:tcW w:w="713" w:type="dxa"/>
            <w:tcBorders>
              <w:top w:val="single" w:sz="6" w:space="0" w:color="auto"/>
              <w:bottom w:val="single" w:sz="6" w:space="0" w:color="auto"/>
            </w:tcBorders>
            <w:shd w:val="clear" w:color="auto" w:fill="auto"/>
          </w:tcPr>
          <w:p w:rsidR="00F85C99" w:rsidRPr="002F6A28" w:rsidRDefault="000B5A5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B5A57"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0B5A57" w:rsidP="009E75ED">
            <w:pPr>
              <w:spacing w:before="120" w:after="120"/>
            </w:pPr>
            <w:r w:rsidRPr="002F6A28">
              <w:rPr>
                <w:bCs/>
              </w:rPr>
              <w:t>The draft Australian mandatory safety standard for consumer goods containing button and coin cell batteries permits suppliers to comply with one of the following industry standards (or sets of industry standards) deemed to have acceptable button/coin cell battery security and compliance testing requirements.</w:t>
            </w:r>
          </w:p>
          <w:p w:rsidR="00640C79" w:rsidRPr="002F6A28" w:rsidRDefault="000B5A57" w:rsidP="009E75ED">
            <w:pPr>
              <w:numPr>
                <w:ilvl w:val="0"/>
                <w:numId w:val="17"/>
              </w:numPr>
              <w:spacing w:before="120" w:after="120"/>
              <w:jc w:val="left"/>
              <w:rPr>
                <w:bCs/>
              </w:rPr>
            </w:pPr>
            <w:r w:rsidRPr="002F6A28">
              <w:rPr>
                <w:bCs/>
              </w:rPr>
              <w:t>IEC 62368-1: 2018 Audio/video, information and communication technology equipment – Part 1: Safety requirements</w:t>
            </w:r>
          </w:p>
          <w:p w:rsidR="00640C79" w:rsidRPr="002F6A28" w:rsidRDefault="000B5A57" w:rsidP="009E75ED">
            <w:pPr>
              <w:numPr>
                <w:ilvl w:val="0"/>
                <w:numId w:val="17"/>
              </w:numPr>
              <w:spacing w:before="120" w:after="120"/>
              <w:jc w:val="left"/>
              <w:rPr>
                <w:bCs/>
              </w:rPr>
            </w:pPr>
            <w:r w:rsidRPr="002F6A28">
              <w:rPr>
                <w:bCs/>
              </w:rPr>
              <w:lastRenderedPageBreak/>
              <w:t>AS/NZS 62368.1:2018 Audio/video, information and communication technology equipment – Part 1: Safety requirements</w:t>
            </w:r>
          </w:p>
          <w:p w:rsidR="00640C79" w:rsidRPr="002F6A28" w:rsidRDefault="000B5A57" w:rsidP="009E75ED">
            <w:pPr>
              <w:numPr>
                <w:ilvl w:val="0"/>
                <w:numId w:val="17"/>
              </w:numPr>
              <w:spacing w:before="120" w:after="120"/>
              <w:jc w:val="left"/>
              <w:rPr>
                <w:bCs/>
              </w:rPr>
            </w:pPr>
            <w:r w:rsidRPr="002F6A28">
              <w:rPr>
                <w:bCs/>
              </w:rPr>
              <w:t>AS/NZS 60065:2018 Audio, video and similar electronic apparatus-Safety requirements</w:t>
            </w:r>
          </w:p>
          <w:p w:rsidR="00640C79" w:rsidRPr="002F6A28" w:rsidRDefault="000B5A57" w:rsidP="009E75ED">
            <w:pPr>
              <w:numPr>
                <w:ilvl w:val="0"/>
                <w:numId w:val="17"/>
              </w:numPr>
              <w:spacing w:before="120" w:after="120"/>
              <w:jc w:val="left"/>
              <w:rPr>
                <w:bCs/>
              </w:rPr>
            </w:pPr>
            <w:r w:rsidRPr="002F6A28">
              <w:rPr>
                <w:bCs/>
              </w:rPr>
              <w:t>IEC 62115:2017 Electric toys – Safety – clause 13.4.1, 13.4.2, 13.4.6 and ISO 8124-1:2018 Safety of toys – Part 1: Safety aspects related to mechanical and physical properties</w:t>
            </w:r>
          </w:p>
          <w:p w:rsidR="00640C79" w:rsidRPr="002F6A28" w:rsidRDefault="000B5A57" w:rsidP="009E75ED">
            <w:pPr>
              <w:numPr>
                <w:ilvl w:val="0"/>
                <w:numId w:val="17"/>
              </w:numPr>
              <w:spacing w:before="120" w:after="120"/>
              <w:jc w:val="left"/>
              <w:rPr>
                <w:bCs/>
              </w:rPr>
            </w:pPr>
            <w:r w:rsidRPr="002F6A28">
              <w:rPr>
                <w:bCs/>
              </w:rPr>
              <w:t>AS/NZS 62115:2018 Electric toys – Safety – clause 13.4.1, 13.4.2, 13.4.6 and AS/NZS 8124.1:2019 Safety of toys – Part 1: Safety aspects related to mechanical and physical properties</w:t>
            </w:r>
          </w:p>
          <w:p w:rsidR="00640C79" w:rsidRPr="002F6A28" w:rsidRDefault="000B5A57" w:rsidP="009E75ED">
            <w:pPr>
              <w:numPr>
                <w:ilvl w:val="0"/>
                <w:numId w:val="17"/>
              </w:numPr>
              <w:spacing w:before="120" w:after="120"/>
              <w:jc w:val="left"/>
              <w:rPr>
                <w:bCs/>
              </w:rPr>
            </w:pPr>
            <w:r w:rsidRPr="002F6A28">
              <w:rPr>
                <w:bCs/>
              </w:rPr>
              <w:t>AS/NZS 60598.1:2017 Luminaries Part 1: General requirements and tests</w:t>
            </w:r>
          </w:p>
          <w:p w:rsidR="00640C79" w:rsidRPr="002F6A28" w:rsidRDefault="000B5A57" w:rsidP="009E75ED">
            <w:pPr>
              <w:numPr>
                <w:ilvl w:val="0"/>
                <w:numId w:val="17"/>
              </w:numPr>
              <w:spacing w:before="120" w:after="120"/>
              <w:jc w:val="left"/>
              <w:rPr>
                <w:bCs/>
              </w:rPr>
            </w:pPr>
            <w:r w:rsidRPr="002F6A28">
              <w:rPr>
                <w:bCs/>
              </w:rPr>
              <w:t>UL 4200A UL Standard for Safety for Products Incorporating Button or Coin Cell Batteries of Lithium Technologies</w:t>
            </w:r>
          </w:p>
          <w:p w:rsidR="00640C79" w:rsidRPr="002F6A28" w:rsidRDefault="000B5A57" w:rsidP="009E75ED">
            <w:pPr>
              <w:spacing w:after="120"/>
              <w:rPr>
                <w:bCs/>
              </w:rPr>
            </w:pPr>
            <w:r w:rsidRPr="002F6A28">
              <w:rPr>
                <w:bCs/>
              </w:rPr>
              <w:t>The draft Australian mandatory safety standard for button and coin cell batteries permits suppliers to comply with one of the following industry standards to demonstrate that the child-resistant packaging requirements have been met.</w:t>
            </w:r>
          </w:p>
          <w:p w:rsidR="00640C79" w:rsidRPr="002F6A28" w:rsidRDefault="000B5A57" w:rsidP="009E75ED">
            <w:pPr>
              <w:numPr>
                <w:ilvl w:val="0"/>
                <w:numId w:val="18"/>
              </w:numPr>
              <w:spacing w:before="120" w:after="120"/>
              <w:jc w:val="left"/>
              <w:rPr>
                <w:bCs/>
              </w:rPr>
            </w:pPr>
            <w:r w:rsidRPr="002F6A28">
              <w:rPr>
                <w:bCs/>
              </w:rPr>
              <w:t>IEC 60086-4:2019 Primary Batteries Part 4: Safety of lithium batteries</w:t>
            </w:r>
          </w:p>
          <w:p w:rsidR="00640C79" w:rsidRPr="002F6A28" w:rsidRDefault="000B5A57" w:rsidP="009E75ED">
            <w:pPr>
              <w:numPr>
                <w:ilvl w:val="0"/>
                <w:numId w:val="18"/>
              </w:numPr>
              <w:spacing w:before="120" w:after="120"/>
              <w:jc w:val="left"/>
              <w:rPr>
                <w:bCs/>
              </w:rPr>
            </w:pPr>
            <w:r w:rsidRPr="002F6A28">
              <w:rPr>
                <w:bCs/>
              </w:rPr>
              <w:t>AS 5808-2009 Child-resistant packaging - Requirements and testing procedures for non-reclosable packages for non-pharmaceutical products</w:t>
            </w:r>
          </w:p>
          <w:p w:rsidR="00640C79" w:rsidRPr="002F6A28" w:rsidRDefault="000B5A57" w:rsidP="009E75ED">
            <w:pPr>
              <w:numPr>
                <w:ilvl w:val="0"/>
                <w:numId w:val="18"/>
              </w:numPr>
              <w:spacing w:before="120" w:after="120"/>
              <w:jc w:val="left"/>
              <w:rPr>
                <w:bCs/>
              </w:rPr>
            </w:pPr>
            <w:r w:rsidRPr="002F6A28">
              <w:rPr>
                <w:bCs/>
              </w:rPr>
              <w:t>EN 862:2016 Packaging - Child resistant packing - Requirements and testing procedures for non-reclosable packages for non-pharmaceutical products</w:t>
            </w:r>
          </w:p>
          <w:p w:rsidR="00640C79" w:rsidRPr="002F6A28" w:rsidRDefault="000B5A57" w:rsidP="009E75ED">
            <w:pPr>
              <w:numPr>
                <w:ilvl w:val="0"/>
                <w:numId w:val="18"/>
              </w:numPr>
              <w:spacing w:before="120" w:after="120"/>
              <w:jc w:val="left"/>
              <w:rPr>
                <w:bCs/>
              </w:rPr>
            </w:pPr>
            <w:r w:rsidRPr="002F6A28">
              <w:rPr>
                <w:bCs/>
              </w:rPr>
              <w:t>ISO 28862:2018 Packaging - Child-resistant packaging - Requirements and testing procedures for non-reclosable packages for non-pharmaceutical products</w:t>
            </w:r>
          </w:p>
          <w:p w:rsidR="00640C79" w:rsidRPr="002F6A28" w:rsidRDefault="000B5A57" w:rsidP="009E75ED">
            <w:pPr>
              <w:numPr>
                <w:ilvl w:val="0"/>
                <w:numId w:val="18"/>
              </w:numPr>
              <w:spacing w:before="120" w:after="120"/>
              <w:jc w:val="left"/>
              <w:rPr>
                <w:bCs/>
              </w:rPr>
            </w:pPr>
            <w:r w:rsidRPr="002F6A28">
              <w:rPr>
                <w:bCs/>
              </w:rPr>
              <w:t>AS 1928-2007 Child-resistant packaging - Requirements and testing procedures for reclosable packages</w:t>
            </w:r>
          </w:p>
          <w:p w:rsidR="00640C79" w:rsidRPr="002F6A28" w:rsidRDefault="000B5A57" w:rsidP="009E75ED">
            <w:pPr>
              <w:numPr>
                <w:ilvl w:val="0"/>
                <w:numId w:val="18"/>
              </w:numPr>
              <w:spacing w:before="120" w:after="120"/>
              <w:jc w:val="left"/>
              <w:rPr>
                <w:bCs/>
              </w:rPr>
            </w:pPr>
            <w:r w:rsidRPr="002F6A28">
              <w:rPr>
                <w:bCs/>
              </w:rPr>
              <w:t>ISO 8317-2015 Child-resistant packaging - Requirements and testing procedures for reclosable packages</w:t>
            </w:r>
          </w:p>
          <w:p w:rsidR="00640C79" w:rsidRPr="002F6A28" w:rsidRDefault="000B5A57" w:rsidP="009E75ED">
            <w:pPr>
              <w:numPr>
                <w:ilvl w:val="0"/>
                <w:numId w:val="18"/>
              </w:numPr>
              <w:spacing w:before="120" w:after="120"/>
              <w:jc w:val="left"/>
              <w:rPr>
                <w:bCs/>
              </w:rPr>
            </w:pPr>
            <w:r w:rsidRPr="002F6A28">
              <w:rPr>
                <w:bCs/>
              </w:rPr>
              <w:t>USA: 16 CFR §1700 Poison Prevention Packaging Standard</w:t>
            </w:r>
          </w:p>
          <w:p w:rsidR="00640C79" w:rsidRPr="002F6A28" w:rsidRDefault="000B5A57" w:rsidP="009E75ED">
            <w:pPr>
              <w:spacing w:after="120"/>
              <w:rPr>
                <w:bCs/>
              </w:rPr>
            </w:pPr>
            <w:r w:rsidRPr="002F6A28">
              <w:rPr>
                <w:bCs/>
              </w:rPr>
              <w:t>The mandatory safety standard for button and coin cell batteries applies child-resistant packaging requirements that deviate from IEC 60086-4 by requiring child-resistant packaging to:</w:t>
            </w:r>
          </w:p>
          <w:p w:rsidR="00640C79" w:rsidRPr="002F6A28" w:rsidRDefault="000B5A57" w:rsidP="009E75ED">
            <w:pPr>
              <w:numPr>
                <w:ilvl w:val="0"/>
                <w:numId w:val="19"/>
              </w:numPr>
              <w:spacing w:before="120" w:after="120"/>
              <w:jc w:val="left"/>
              <w:rPr>
                <w:bCs/>
              </w:rPr>
            </w:pPr>
            <w:r w:rsidRPr="002F6A28">
              <w:rPr>
                <w:bCs/>
              </w:rPr>
              <w:t>button and coin cell batteries of lithium chemistry of all sizes</w:t>
            </w:r>
          </w:p>
          <w:p w:rsidR="00640C79" w:rsidRPr="002F6A28" w:rsidRDefault="000B5A57" w:rsidP="009E75ED">
            <w:pPr>
              <w:numPr>
                <w:ilvl w:val="0"/>
                <w:numId w:val="19"/>
              </w:numPr>
              <w:spacing w:before="120" w:after="120"/>
              <w:jc w:val="left"/>
              <w:rPr>
                <w:bCs/>
              </w:rPr>
            </w:pPr>
            <w:r w:rsidRPr="002F6A28">
              <w:rPr>
                <w:bCs/>
              </w:rPr>
              <w:t>button batteries of a chemistry other than lithium with a diameter of 16mm or above.</w:t>
            </w:r>
          </w:p>
          <w:p w:rsidR="00640C79" w:rsidRPr="002F6A28" w:rsidRDefault="000B5A57" w:rsidP="009E75ED">
            <w:pPr>
              <w:spacing w:after="120"/>
              <w:rPr>
                <w:bCs/>
              </w:rPr>
            </w:pPr>
            <w:r w:rsidRPr="002F6A28">
              <w:rPr>
                <w:bCs/>
              </w:rPr>
              <w:t>The mandatory information standard for consumer goods containing button and coin cell batteries applies warning requirements that deviate from certain industry standards that specify button/coin cell battery related warning requirements by requiring that the front panel of the packaging of the consumer goods be marked with an internationally recognised safety alert symbol.</w:t>
            </w:r>
          </w:p>
        </w:tc>
      </w:tr>
      <w:tr w:rsidR="00FD6DC3" w:rsidTr="00AE6CC8">
        <w:trPr>
          <w:cantSplit/>
        </w:trPr>
        <w:tc>
          <w:tcPr>
            <w:tcW w:w="713" w:type="dxa"/>
            <w:tcBorders>
              <w:top w:val="single" w:sz="6" w:space="0" w:color="auto"/>
              <w:bottom w:val="single" w:sz="6" w:space="0" w:color="auto"/>
            </w:tcBorders>
            <w:shd w:val="clear" w:color="auto" w:fill="auto"/>
          </w:tcPr>
          <w:p w:rsidR="00EE3A11" w:rsidRPr="002F6A28" w:rsidRDefault="000B5A57"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0B5A57"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The mandatory safety and information standards are subject to Australian Government consideration and approval.</w:t>
            </w:r>
            <w:bookmarkEnd w:id="31"/>
          </w:p>
          <w:p w:rsidR="00EE3A11" w:rsidRPr="002F6A28" w:rsidRDefault="000B5A57"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The proposed requirements will be mandatory 18 months after the mandatory safety and information standards commence.</w:t>
            </w:r>
            <w:bookmarkEnd w:id="34"/>
          </w:p>
        </w:tc>
      </w:tr>
      <w:tr w:rsidR="00FD6DC3" w:rsidTr="0069259F">
        <w:tc>
          <w:tcPr>
            <w:tcW w:w="713" w:type="dxa"/>
            <w:tcBorders>
              <w:top w:val="single" w:sz="6" w:space="0" w:color="auto"/>
              <w:bottom w:val="single" w:sz="6" w:space="0" w:color="auto"/>
            </w:tcBorders>
            <w:shd w:val="clear" w:color="auto" w:fill="auto"/>
          </w:tcPr>
          <w:p w:rsidR="00F85C99" w:rsidRPr="002F6A28" w:rsidRDefault="000B5A5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B5A57"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FD6DC3" w:rsidTr="0069259F">
        <w:tc>
          <w:tcPr>
            <w:tcW w:w="713" w:type="dxa"/>
            <w:tcBorders>
              <w:top w:val="single" w:sz="6" w:space="0" w:color="auto"/>
            </w:tcBorders>
            <w:shd w:val="clear" w:color="auto" w:fill="auto"/>
          </w:tcPr>
          <w:p w:rsidR="00F85C99" w:rsidRPr="002F6A28" w:rsidRDefault="000B5A57"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0B5A5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640C79" w:rsidRPr="002F6A28" w:rsidRDefault="00D827B6" w:rsidP="00B16145">
            <w:pPr>
              <w:keepNext/>
              <w:keepLines/>
              <w:spacing w:before="120" w:after="120"/>
            </w:pPr>
            <w:hyperlink r:id="rId9" w:history="1">
              <w:r w:rsidR="000B5A57" w:rsidRPr="002F6A28">
                <w:rPr>
                  <w:color w:val="0000FF"/>
                  <w:u w:val="single"/>
                </w:rPr>
                <w:t>https://consultation.accc.gov.au/product-safety/ef43042e</w:t>
              </w:r>
            </w:hyperlink>
            <w:bookmarkEnd w:id="40"/>
          </w:p>
        </w:tc>
      </w:tr>
    </w:tbl>
    <w:p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E52" w:rsidRDefault="000B5A57">
      <w:r>
        <w:separator/>
      </w:r>
    </w:p>
  </w:endnote>
  <w:endnote w:type="continuationSeparator" w:id="0">
    <w:p w:rsidR="007A3E52" w:rsidRDefault="000B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B5A5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B5A5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B5A5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E52" w:rsidRDefault="000B5A57">
      <w:r>
        <w:separator/>
      </w:r>
    </w:p>
  </w:footnote>
  <w:footnote w:type="continuationSeparator" w:id="0">
    <w:p w:rsidR="007A3E52" w:rsidRDefault="000B5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B5A57"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0B5A5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B5A57" w:rsidP="009239F7">
    <w:pPr>
      <w:pStyle w:val="Header"/>
      <w:pBdr>
        <w:bottom w:val="single" w:sz="4" w:space="1" w:color="auto"/>
      </w:pBdr>
      <w:tabs>
        <w:tab w:val="clear" w:pos="4513"/>
        <w:tab w:val="clear" w:pos="9027"/>
      </w:tabs>
      <w:jc w:val="center"/>
    </w:pPr>
    <w:bookmarkStart w:id="41" w:name="spsSymbolHeader"/>
    <w:r w:rsidRPr="002F6A28">
      <w:t>G/TBT/N/AUS/123</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0B5A5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6DC3"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FD6DC3" w:rsidTr="008612A9">
      <w:trPr>
        <w:trHeight w:val="213"/>
        <w:jc w:val="center"/>
      </w:trPr>
      <w:tc>
        <w:tcPr>
          <w:tcW w:w="3794" w:type="dxa"/>
          <w:vMerge w:val="restart"/>
          <w:shd w:val="clear" w:color="auto" w:fill="FFFFFF"/>
          <w:tcMar>
            <w:left w:w="0" w:type="dxa"/>
            <w:right w:w="0" w:type="dxa"/>
          </w:tcMar>
        </w:tcPr>
        <w:p w:rsidR="00ED54E0" w:rsidRPr="009239F7" w:rsidRDefault="000B5A57"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7849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FD6DC3"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0B5A57" w:rsidP="00B801E9">
          <w:pPr>
            <w:jc w:val="right"/>
            <w:rPr>
              <w:b/>
              <w:szCs w:val="16"/>
            </w:rPr>
          </w:pPr>
          <w:bookmarkStart w:id="43" w:name="bmkSymbols"/>
          <w:r w:rsidRPr="002F6A28">
            <w:rPr>
              <w:b/>
              <w:szCs w:val="16"/>
            </w:rPr>
            <w:t>G/TBT/N/AUS/123</w:t>
          </w:r>
          <w:bookmarkEnd w:id="43"/>
        </w:p>
      </w:tc>
    </w:tr>
    <w:tr w:rsidR="00FD6DC3"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0B5A57" w:rsidP="00B801E9">
          <w:pPr>
            <w:jc w:val="right"/>
            <w:rPr>
              <w:szCs w:val="16"/>
            </w:rPr>
          </w:pPr>
          <w:bookmarkStart w:id="44" w:name="spsDateDistribution"/>
          <w:bookmarkStart w:id="45" w:name="bmkDate"/>
          <w:bookmarkEnd w:id="44"/>
          <w:bookmarkEnd w:id="45"/>
          <w:r>
            <w:rPr>
              <w:szCs w:val="16"/>
            </w:rPr>
            <w:t>30 September 2020</w:t>
          </w:r>
        </w:p>
      </w:tc>
    </w:tr>
    <w:tr w:rsidR="00FD6DC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B5A57"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D827B6">
            <w:rPr>
              <w:color w:val="FF0000"/>
              <w:szCs w:val="16"/>
            </w:rPr>
            <w:t>6613</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0B5A5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FD6DC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B5A57"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0B5A57"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9E2F6C4">
      <w:start w:val="1"/>
      <w:numFmt w:val="decimal"/>
      <w:pStyle w:val="SummaryText"/>
      <w:lvlText w:val="%1."/>
      <w:lvlJc w:val="left"/>
      <w:pPr>
        <w:ind w:left="360" w:hanging="360"/>
      </w:pPr>
    </w:lvl>
    <w:lvl w:ilvl="1" w:tplc="508A1FDE" w:tentative="1">
      <w:start w:val="1"/>
      <w:numFmt w:val="lowerLetter"/>
      <w:lvlText w:val="%2."/>
      <w:lvlJc w:val="left"/>
      <w:pPr>
        <w:ind w:left="1080" w:hanging="360"/>
      </w:pPr>
    </w:lvl>
    <w:lvl w:ilvl="2" w:tplc="E26E20BE" w:tentative="1">
      <w:start w:val="1"/>
      <w:numFmt w:val="lowerRoman"/>
      <w:lvlText w:val="%3."/>
      <w:lvlJc w:val="right"/>
      <w:pPr>
        <w:ind w:left="1800" w:hanging="180"/>
      </w:pPr>
    </w:lvl>
    <w:lvl w:ilvl="3" w:tplc="8B56E0DE" w:tentative="1">
      <w:start w:val="1"/>
      <w:numFmt w:val="decimal"/>
      <w:lvlText w:val="%4."/>
      <w:lvlJc w:val="left"/>
      <w:pPr>
        <w:ind w:left="2520" w:hanging="360"/>
      </w:pPr>
    </w:lvl>
    <w:lvl w:ilvl="4" w:tplc="265A9D60" w:tentative="1">
      <w:start w:val="1"/>
      <w:numFmt w:val="lowerLetter"/>
      <w:lvlText w:val="%5."/>
      <w:lvlJc w:val="left"/>
      <w:pPr>
        <w:ind w:left="3240" w:hanging="360"/>
      </w:pPr>
    </w:lvl>
    <w:lvl w:ilvl="5" w:tplc="1616BE3A" w:tentative="1">
      <w:start w:val="1"/>
      <w:numFmt w:val="lowerRoman"/>
      <w:lvlText w:val="%6."/>
      <w:lvlJc w:val="right"/>
      <w:pPr>
        <w:ind w:left="3960" w:hanging="180"/>
      </w:pPr>
    </w:lvl>
    <w:lvl w:ilvl="6" w:tplc="67BC2E70" w:tentative="1">
      <w:start w:val="1"/>
      <w:numFmt w:val="decimal"/>
      <w:lvlText w:val="%7."/>
      <w:lvlJc w:val="left"/>
      <w:pPr>
        <w:ind w:left="4680" w:hanging="360"/>
      </w:pPr>
    </w:lvl>
    <w:lvl w:ilvl="7" w:tplc="F916694A" w:tentative="1">
      <w:start w:val="1"/>
      <w:numFmt w:val="lowerLetter"/>
      <w:lvlText w:val="%8."/>
      <w:lvlJc w:val="left"/>
      <w:pPr>
        <w:ind w:left="5400" w:hanging="360"/>
      </w:pPr>
    </w:lvl>
    <w:lvl w:ilvl="8" w:tplc="C010E0D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7AA6E18">
      <w:start w:val="1"/>
      <w:numFmt w:val="bullet"/>
      <w:lvlText w:val=""/>
      <w:lvlJc w:val="left"/>
      <w:pPr>
        <w:ind w:left="720" w:hanging="360"/>
      </w:pPr>
      <w:rPr>
        <w:rFonts w:ascii="Symbol" w:hAnsi="Symbol"/>
      </w:rPr>
    </w:lvl>
    <w:lvl w:ilvl="1" w:tplc="14DED660">
      <w:start w:val="1"/>
      <w:numFmt w:val="bullet"/>
      <w:lvlText w:val="o"/>
      <w:lvlJc w:val="left"/>
      <w:pPr>
        <w:tabs>
          <w:tab w:val="num" w:pos="1440"/>
        </w:tabs>
        <w:ind w:left="1440" w:hanging="360"/>
      </w:pPr>
      <w:rPr>
        <w:rFonts w:ascii="Courier New" w:hAnsi="Courier New"/>
      </w:rPr>
    </w:lvl>
    <w:lvl w:ilvl="2" w:tplc="C304E1D2">
      <w:start w:val="1"/>
      <w:numFmt w:val="bullet"/>
      <w:lvlText w:val=""/>
      <w:lvlJc w:val="left"/>
      <w:pPr>
        <w:tabs>
          <w:tab w:val="num" w:pos="2160"/>
        </w:tabs>
        <w:ind w:left="2160" w:hanging="360"/>
      </w:pPr>
      <w:rPr>
        <w:rFonts w:ascii="Wingdings" w:hAnsi="Wingdings"/>
      </w:rPr>
    </w:lvl>
    <w:lvl w:ilvl="3" w:tplc="C1008F70">
      <w:start w:val="1"/>
      <w:numFmt w:val="bullet"/>
      <w:lvlText w:val=""/>
      <w:lvlJc w:val="left"/>
      <w:pPr>
        <w:tabs>
          <w:tab w:val="num" w:pos="2880"/>
        </w:tabs>
        <w:ind w:left="2880" w:hanging="360"/>
      </w:pPr>
      <w:rPr>
        <w:rFonts w:ascii="Symbol" w:hAnsi="Symbol"/>
      </w:rPr>
    </w:lvl>
    <w:lvl w:ilvl="4" w:tplc="38B4E026">
      <w:start w:val="1"/>
      <w:numFmt w:val="bullet"/>
      <w:lvlText w:val="o"/>
      <w:lvlJc w:val="left"/>
      <w:pPr>
        <w:tabs>
          <w:tab w:val="num" w:pos="3600"/>
        </w:tabs>
        <w:ind w:left="3600" w:hanging="360"/>
      </w:pPr>
      <w:rPr>
        <w:rFonts w:ascii="Courier New" w:hAnsi="Courier New"/>
      </w:rPr>
    </w:lvl>
    <w:lvl w:ilvl="5" w:tplc="B212FC7C">
      <w:start w:val="1"/>
      <w:numFmt w:val="bullet"/>
      <w:lvlText w:val=""/>
      <w:lvlJc w:val="left"/>
      <w:pPr>
        <w:tabs>
          <w:tab w:val="num" w:pos="4320"/>
        </w:tabs>
        <w:ind w:left="4320" w:hanging="360"/>
      </w:pPr>
      <w:rPr>
        <w:rFonts w:ascii="Wingdings" w:hAnsi="Wingdings"/>
      </w:rPr>
    </w:lvl>
    <w:lvl w:ilvl="6" w:tplc="A830E302">
      <w:start w:val="1"/>
      <w:numFmt w:val="bullet"/>
      <w:lvlText w:val=""/>
      <w:lvlJc w:val="left"/>
      <w:pPr>
        <w:tabs>
          <w:tab w:val="num" w:pos="5040"/>
        </w:tabs>
        <w:ind w:left="5040" w:hanging="360"/>
      </w:pPr>
      <w:rPr>
        <w:rFonts w:ascii="Symbol" w:hAnsi="Symbol"/>
      </w:rPr>
    </w:lvl>
    <w:lvl w:ilvl="7" w:tplc="6492B7EA">
      <w:start w:val="1"/>
      <w:numFmt w:val="bullet"/>
      <w:lvlText w:val="o"/>
      <w:lvlJc w:val="left"/>
      <w:pPr>
        <w:tabs>
          <w:tab w:val="num" w:pos="5760"/>
        </w:tabs>
        <w:ind w:left="5760" w:hanging="360"/>
      </w:pPr>
      <w:rPr>
        <w:rFonts w:ascii="Courier New" w:hAnsi="Courier New"/>
      </w:rPr>
    </w:lvl>
    <w:lvl w:ilvl="8" w:tplc="210895B0">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12A4A2D0">
      <w:start w:val="1"/>
      <w:numFmt w:val="bullet"/>
      <w:lvlText w:val=""/>
      <w:lvlJc w:val="left"/>
      <w:pPr>
        <w:ind w:left="720" w:hanging="360"/>
      </w:pPr>
      <w:rPr>
        <w:rFonts w:ascii="Symbol" w:hAnsi="Symbol"/>
      </w:rPr>
    </w:lvl>
    <w:lvl w:ilvl="1" w:tplc="8F98461A">
      <w:start w:val="1"/>
      <w:numFmt w:val="bullet"/>
      <w:lvlText w:val="o"/>
      <w:lvlJc w:val="left"/>
      <w:pPr>
        <w:tabs>
          <w:tab w:val="num" w:pos="1440"/>
        </w:tabs>
        <w:ind w:left="1440" w:hanging="360"/>
      </w:pPr>
      <w:rPr>
        <w:rFonts w:ascii="Courier New" w:hAnsi="Courier New"/>
      </w:rPr>
    </w:lvl>
    <w:lvl w:ilvl="2" w:tplc="D1B0E7A2">
      <w:start w:val="1"/>
      <w:numFmt w:val="bullet"/>
      <w:lvlText w:val=""/>
      <w:lvlJc w:val="left"/>
      <w:pPr>
        <w:tabs>
          <w:tab w:val="num" w:pos="2160"/>
        </w:tabs>
        <w:ind w:left="2160" w:hanging="360"/>
      </w:pPr>
      <w:rPr>
        <w:rFonts w:ascii="Wingdings" w:hAnsi="Wingdings"/>
      </w:rPr>
    </w:lvl>
    <w:lvl w:ilvl="3" w:tplc="F87C786A">
      <w:start w:val="1"/>
      <w:numFmt w:val="bullet"/>
      <w:lvlText w:val=""/>
      <w:lvlJc w:val="left"/>
      <w:pPr>
        <w:tabs>
          <w:tab w:val="num" w:pos="2880"/>
        </w:tabs>
        <w:ind w:left="2880" w:hanging="360"/>
      </w:pPr>
      <w:rPr>
        <w:rFonts w:ascii="Symbol" w:hAnsi="Symbol"/>
      </w:rPr>
    </w:lvl>
    <w:lvl w:ilvl="4" w:tplc="212CDB88">
      <w:start w:val="1"/>
      <w:numFmt w:val="bullet"/>
      <w:lvlText w:val="o"/>
      <w:lvlJc w:val="left"/>
      <w:pPr>
        <w:tabs>
          <w:tab w:val="num" w:pos="3600"/>
        </w:tabs>
        <w:ind w:left="3600" w:hanging="360"/>
      </w:pPr>
      <w:rPr>
        <w:rFonts w:ascii="Courier New" w:hAnsi="Courier New"/>
      </w:rPr>
    </w:lvl>
    <w:lvl w:ilvl="5" w:tplc="A16E68CA">
      <w:start w:val="1"/>
      <w:numFmt w:val="bullet"/>
      <w:lvlText w:val=""/>
      <w:lvlJc w:val="left"/>
      <w:pPr>
        <w:tabs>
          <w:tab w:val="num" w:pos="4320"/>
        </w:tabs>
        <w:ind w:left="4320" w:hanging="360"/>
      </w:pPr>
      <w:rPr>
        <w:rFonts w:ascii="Wingdings" w:hAnsi="Wingdings"/>
      </w:rPr>
    </w:lvl>
    <w:lvl w:ilvl="6" w:tplc="7D580362">
      <w:start w:val="1"/>
      <w:numFmt w:val="bullet"/>
      <w:lvlText w:val=""/>
      <w:lvlJc w:val="left"/>
      <w:pPr>
        <w:tabs>
          <w:tab w:val="num" w:pos="5040"/>
        </w:tabs>
        <w:ind w:left="5040" w:hanging="360"/>
      </w:pPr>
      <w:rPr>
        <w:rFonts w:ascii="Symbol" w:hAnsi="Symbol"/>
      </w:rPr>
    </w:lvl>
    <w:lvl w:ilvl="7" w:tplc="0396FCC6">
      <w:start w:val="1"/>
      <w:numFmt w:val="bullet"/>
      <w:lvlText w:val="o"/>
      <w:lvlJc w:val="left"/>
      <w:pPr>
        <w:tabs>
          <w:tab w:val="num" w:pos="5760"/>
        </w:tabs>
        <w:ind w:left="5760" w:hanging="360"/>
      </w:pPr>
      <w:rPr>
        <w:rFonts w:ascii="Courier New" w:hAnsi="Courier New"/>
      </w:rPr>
    </w:lvl>
    <w:lvl w:ilvl="8" w:tplc="02D4EF0E">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hybridMultilevel"/>
    <w:tmpl w:val="63D526BD"/>
    <w:lvl w:ilvl="0" w:tplc="925C5402">
      <w:start w:val="1"/>
      <w:numFmt w:val="bullet"/>
      <w:lvlText w:val=""/>
      <w:lvlJc w:val="left"/>
      <w:pPr>
        <w:ind w:left="720" w:hanging="360"/>
      </w:pPr>
      <w:rPr>
        <w:rFonts w:ascii="Symbol" w:hAnsi="Symbol"/>
      </w:rPr>
    </w:lvl>
    <w:lvl w:ilvl="1" w:tplc="512C9EE4">
      <w:start w:val="1"/>
      <w:numFmt w:val="bullet"/>
      <w:lvlText w:val="o"/>
      <w:lvlJc w:val="left"/>
      <w:pPr>
        <w:tabs>
          <w:tab w:val="num" w:pos="1440"/>
        </w:tabs>
        <w:ind w:left="1440" w:hanging="360"/>
      </w:pPr>
      <w:rPr>
        <w:rFonts w:ascii="Courier New" w:hAnsi="Courier New"/>
      </w:rPr>
    </w:lvl>
    <w:lvl w:ilvl="2" w:tplc="33F6B302">
      <w:start w:val="1"/>
      <w:numFmt w:val="bullet"/>
      <w:lvlText w:val=""/>
      <w:lvlJc w:val="left"/>
      <w:pPr>
        <w:tabs>
          <w:tab w:val="num" w:pos="2160"/>
        </w:tabs>
        <w:ind w:left="2160" w:hanging="360"/>
      </w:pPr>
      <w:rPr>
        <w:rFonts w:ascii="Wingdings" w:hAnsi="Wingdings"/>
      </w:rPr>
    </w:lvl>
    <w:lvl w:ilvl="3" w:tplc="F8B00F4A">
      <w:start w:val="1"/>
      <w:numFmt w:val="bullet"/>
      <w:lvlText w:val=""/>
      <w:lvlJc w:val="left"/>
      <w:pPr>
        <w:tabs>
          <w:tab w:val="num" w:pos="2880"/>
        </w:tabs>
        <w:ind w:left="2880" w:hanging="360"/>
      </w:pPr>
      <w:rPr>
        <w:rFonts w:ascii="Symbol" w:hAnsi="Symbol"/>
      </w:rPr>
    </w:lvl>
    <w:lvl w:ilvl="4" w:tplc="F3E2CEBA">
      <w:start w:val="1"/>
      <w:numFmt w:val="bullet"/>
      <w:lvlText w:val="o"/>
      <w:lvlJc w:val="left"/>
      <w:pPr>
        <w:tabs>
          <w:tab w:val="num" w:pos="3600"/>
        </w:tabs>
        <w:ind w:left="3600" w:hanging="360"/>
      </w:pPr>
      <w:rPr>
        <w:rFonts w:ascii="Courier New" w:hAnsi="Courier New"/>
      </w:rPr>
    </w:lvl>
    <w:lvl w:ilvl="5" w:tplc="36A26858">
      <w:start w:val="1"/>
      <w:numFmt w:val="bullet"/>
      <w:lvlText w:val=""/>
      <w:lvlJc w:val="left"/>
      <w:pPr>
        <w:tabs>
          <w:tab w:val="num" w:pos="4320"/>
        </w:tabs>
        <w:ind w:left="4320" w:hanging="360"/>
      </w:pPr>
      <w:rPr>
        <w:rFonts w:ascii="Wingdings" w:hAnsi="Wingdings"/>
      </w:rPr>
    </w:lvl>
    <w:lvl w:ilvl="6" w:tplc="5058D682">
      <w:start w:val="1"/>
      <w:numFmt w:val="bullet"/>
      <w:lvlText w:val=""/>
      <w:lvlJc w:val="left"/>
      <w:pPr>
        <w:tabs>
          <w:tab w:val="num" w:pos="5040"/>
        </w:tabs>
        <w:ind w:left="5040" w:hanging="360"/>
      </w:pPr>
      <w:rPr>
        <w:rFonts w:ascii="Symbol" w:hAnsi="Symbol"/>
      </w:rPr>
    </w:lvl>
    <w:lvl w:ilvl="7" w:tplc="F5B85260">
      <w:start w:val="1"/>
      <w:numFmt w:val="bullet"/>
      <w:lvlText w:val="o"/>
      <w:lvlJc w:val="left"/>
      <w:pPr>
        <w:tabs>
          <w:tab w:val="num" w:pos="5760"/>
        </w:tabs>
        <w:ind w:left="5760" w:hanging="360"/>
      </w:pPr>
      <w:rPr>
        <w:rFonts w:ascii="Courier New" w:hAnsi="Courier New"/>
      </w:rPr>
    </w:lvl>
    <w:lvl w:ilvl="8" w:tplc="AD96F358">
      <w:start w:val="1"/>
      <w:numFmt w:val="bullet"/>
      <w:lvlText w:val=""/>
      <w:lvlJc w:val="left"/>
      <w:pPr>
        <w:tabs>
          <w:tab w:val="num" w:pos="6480"/>
        </w:tabs>
        <w:ind w:left="6480" w:hanging="360"/>
      </w:pPr>
      <w:rPr>
        <w:rFonts w:ascii="Wingdings" w:hAnsi="Wingdings"/>
      </w:rPr>
    </w:lvl>
  </w:abstractNum>
  <w:abstractNum w:abstractNumId="17" w15:restartNumberingAfterBreak="0">
    <w:nsid w:val="63D526BE"/>
    <w:multiLevelType w:val="hybridMultilevel"/>
    <w:tmpl w:val="63D526BE"/>
    <w:lvl w:ilvl="0" w:tplc="9738CC20">
      <w:start w:val="1"/>
      <w:numFmt w:val="bullet"/>
      <w:lvlText w:val=""/>
      <w:lvlJc w:val="left"/>
      <w:pPr>
        <w:ind w:left="720" w:hanging="360"/>
      </w:pPr>
      <w:rPr>
        <w:rFonts w:ascii="Symbol" w:hAnsi="Symbol"/>
      </w:rPr>
    </w:lvl>
    <w:lvl w:ilvl="1" w:tplc="6F86FC1C">
      <w:start w:val="1"/>
      <w:numFmt w:val="bullet"/>
      <w:lvlText w:val="o"/>
      <w:lvlJc w:val="left"/>
      <w:pPr>
        <w:tabs>
          <w:tab w:val="num" w:pos="1440"/>
        </w:tabs>
        <w:ind w:left="1440" w:hanging="360"/>
      </w:pPr>
      <w:rPr>
        <w:rFonts w:ascii="Courier New" w:hAnsi="Courier New"/>
      </w:rPr>
    </w:lvl>
    <w:lvl w:ilvl="2" w:tplc="7FE27E88">
      <w:start w:val="1"/>
      <w:numFmt w:val="bullet"/>
      <w:lvlText w:val=""/>
      <w:lvlJc w:val="left"/>
      <w:pPr>
        <w:tabs>
          <w:tab w:val="num" w:pos="2160"/>
        </w:tabs>
        <w:ind w:left="2160" w:hanging="360"/>
      </w:pPr>
      <w:rPr>
        <w:rFonts w:ascii="Wingdings" w:hAnsi="Wingdings"/>
      </w:rPr>
    </w:lvl>
    <w:lvl w:ilvl="3" w:tplc="94EA46E2">
      <w:start w:val="1"/>
      <w:numFmt w:val="bullet"/>
      <w:lvlText w:val=""/>
      <w:lvlJc w:val="left"/>
      <w:pPr>
        <w:tabs>
          <w:tab w:val="num" w:pos="2880"/>
        </w:tabs>
        <w:ind w:left="2880" w:hanging="360"/>
      </w:pPr>
      <w:rPr>
        <w:rFonts w:ascii="Symbol" w:hAnsi="Symbol"/>
      </w:rPr>
    </w:lvl>
    <w:lvl w:ilvl="4" w:tplc="C60C3CE8">
      <w:start w:val="1"/>
      <w:numFmt w:val="bullet"/>
      <w:lvlText w:val="o"/>
      <w:lvlJc w:val="left"/>
      <w:pPr>
        <w:tabs>
          <w:tab w:val="num" w:pos="3600"/>
        </w:tabs>
        <w:ind w:left="3600" w:hanging="360"/>
      </w:pPr>
      <w:rPr>
        <w:rFonts w:ascii="Courier New" w:hAnsi="Courier New"/>
      </w:rPr>
    </w:lvl>
    <w:lvl w:ilvl="5" w:tplc="EACE7168">
      <w:start w:val="1"/>
      <w:numFmt w:val="bullet"/>
      <w:lvlText w:val=""/>
      <w:lvlJc w:val="left"/>
      <w:pPr>
        <w:tabs>
          <w:tab w:val="num" w:pos="4320"/>
        </w:tabs>
        <w:ind w:left="4320" w:hanging="360"/>
      </w:pPr>
      <w:rPr>
        <w:rFonts w:ascii="Wingdings" w:hAnsi="Wingdings"/>
      </w:rPr>
    </w:lvl>
    <w:lvl w:ilvl="6" w:tplc="1B0C25C4">
      <w:start w:val="1"/>
      <w:numFmt w:val="bullet"/>
      <w:lvlText w:val=""/>
      <w:lvlJc w:val="left"/>
      <w:pPr>
        <w:tabs>
          <w:tab w:val="num" w:pos="5040"/>
        </w:tabs>
        <w:ind w:left="5040" w:hanging="360"/>
      </w:pPr>
      <w:rPr>
        <w:rFonts w:ascii="Symbol" w:hAnsi="Symbol"/>
      </w:rPr>
    </w:lvl>
    <w:lvl w:ilvl="7" w:tplc="40C2E532">
      <w:start w:val="1"/>
      <w:numFmt w:val="bullet"/>
      <w:lvlText w:val="o"/>
      <w:lvlJc w:val="left"/>
      <w:pPr>
        <w:tabs>
          <w:tab w:val="num" w:pos="5760"/>
        </w:tabs>
        <w:ind w:left="5760" w:hanging="360"/>
      </w:pPr>
      <w:rPr>
        <w:rFonts w:ascii="Courier New" w:hAnsi="Courier New"/>
      </w:rPr>
    </w:lvl>
    <w:lvl w:ilvl="8" w:tplc="75ACA8E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B5A57"/>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0C79"/>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4927"/>
    <w:rsid w:val="00745146"/>
    <w:rsid w:val="00756BA6"/>
    <w:rsid w:val="007577E3"/>
    <w:rsid w:val="00760DB3"/>
    <w:rsid w:val="007624E8"/>
    <w:rsid w:val="007A3E52"/>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827B6"/>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D6DC3"/>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3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productsafety.gov.au/products/electronics-technology/button-batteri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bt.enquiry@dfat.gov.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sultation.accc.gov.au/product-safety/ef43042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2020-09-30T06:38:00Z</dcterms:created>
  <dcterms:modified xsi:type="dcterms:W3CDTF">2020-09-30T06:59:00Z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b99ef02a-6c3b-4afe-8c65-f9b7aeedce45</vt:lpwstr>
  </property>
  <property fmtid="{D5CDD505-2E9C-101B-9397-08002B2CF9AE}" pid="4" name="WTOCLASSIFICATION">
    <vt:lpwstr>WTO OFFICIAL</vt:lpwstr>
  </property>
</Properties>
</file>