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06D9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06D9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>
      <w:bookmarkStart w:id="0" w:name="_GoBack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F008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bookmarkEnd w:id="0"/>
          <w:p w:rsidR="00F85C99" w:rsidRPr="002F6A28" w:rsidRDefault="00D06D9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2"/>
            <w:r w:rsidRPr="002F6A28">
              <w:t xml:space="preserve"> </w:t>
            </w:r>
          </w:p>
          <w:p w:rsidR="00F85C99" w:rsidRPr="002F6A28" w:rsidRDefault="00D06D92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F008C" w:rsidRPr="000F4A0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Saudi Standards ,Metrology and Quality Organization (SASO)</w:t>
            </w:r>
            <w:bookmarkEnd w:id="6"/>
          </w:p>
          <w:p w:rsidR="00F85C99" w:rsidRPr="002F6A28" w:rsidRDefault="00D06D92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AF008C" w:rsidRPr="002F6A28" w:rsidRDefault="00CD2198" w:rsidP="00AA646C">
            <w:hyperlink r:id="rId7" w:history="1">
              <w:r w:rsidR="00D06D92" w:rsidRPr="002F6A28">
                <w:rPr>
                  <w:color w:val="0000FF"/>
                  <w:u w:val="single"/>
                </w:rPr>
                <w:t>http://www.saso.gov.sa</w:t>
              </w:r>
            </w:hyperlink>
          </w:p>
          <w:p w:rsidR="00AF008C" w:rsidRPr="002F6A28" w:rsidRDefault="00D06D92" w:rsidP="00AA646C">
            <w:r w:rsidRPr="002F6A28">
              <w:t>Saudi Standards, Metrology and Quality Organization (SASO)</w:t>
            </w:r>
          </w:p>
          <w:p w:rsidR="00AF008C" w:rsidRPr="002F6A28" w:rsidRDefault="00D06D92" w:rsidP="00AA646C">
            <w:r w:rsidRPr="002F6A28">
              <w:t>P. O. BOX: 3437 Riyadh 11471</w:t>
            </w:r>
          </w:p>
          <w:p w:rsidR="00AF008C" w:rsidRPr="002F6A28" w:rsidRDefault="00D06D92" w:rsidP="00AA646C">
            <w:r w:rsidRPr="002F6A28">
              <w:t>Tel: +966(11) 2529999  Ext: (9070-9061)</w:t>
            </w:r>
          </w:p>
          <w:p w:rsidR="00AF008C" w:rsidRPr="000F4A0A" w:rsidRDefault="00D06D92" w:rsidP="00AA646C">
            <w:pPr>
              <w:rPr>
                <w:lang w:val="fr-CH"/>
              </w:rPr>
            </w:pPr>
            <w:r w:rsidRPr="000F4A0A">
              <w:rPr>
                <w:lang w:val="fr-CH"/>
              </w:rPr>
              <w:t>Fax +966(11)4520193</w:t>
            </w:r>
          </w:p>
          <w:p w:rsidR="00AF008C" w:rsidRPr="000F4A0A" w:rsidRDefault="00D06D92" w:rsidP="00AA646C">
            <w:pPr>
              <w:spacing w:after="120"/>
              <w:rPr>
                <w:lang w:val="fr-CH"/>
              </w:rPr>
            </w:pPr>
            <w:proofErr w:type="gramStart"/>
            <w:r w:rsidRPr="000F4A0A">
              <w:rPr>
                <w:lang w:val="fr-CH"/>
              </w:rPr>
              <w:t>Email:</w:t>
            </w:r>
            <w:proofErr w:type="gramEnd"/>
            <w:r w:rsidRPr="000F4A0A">
              <w:rPr>
                <w:lang w:val="fr-CH"/>
              </w:rPr>
              <w:t xml:space="preserve"> </w:t>
            </w:r>
            <w:hyperlink r:id="rId8" w:history="1">
              <w:r w:rsidRPr="000F4A0A">
                <w:rPr>
                  <w:rStyle w:val="Hyperlink"/>
                  <w:lang w:val="fr-CH"/>
                </w:rPr>
                <w:t>enquirypoint@saso.gov.sa</w:t>
              </w:r>
            </w:hyperlink>
            <w:bookmarkEnd w:id="8"/>
            <w:r w:rsidRPr="000F4A0A">
              <w:rPr>
                <w:lang w:val="fr-CH"/>
              </w:rPr>
              <w:t xml:space="preserve"> </w:t>
            </w:r>
          </w:p>
        </w:tc>
      </w:tr>
      <w:tr w:rsidR="00AF00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06D92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AF00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Beverages (ICS 67.160)</w:t>
            </w:r>
            <w:bookmarkEnd w:id="20"/>
          </w:p>
        </w:tc>
      </w:tr>
      <w:tr w:rsidR="00AF00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Energy Drinks (10 page(s), in Arabic)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F00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rPr>
                <w:lang w:eastAsia="en-GB"/>
              </w:rPr>
              <w:t>This draft technical regulation applies with the conditions that must be met in non-alcoholic beverages with stimulants such as caffeine and do not include athletes' drinks.</w:t>
            </w:r>
            <w:bookmarkEnd w:id="26"/>
          </w:p>
        </w:tc>
      </w:tr>
      <w:tr w:rsidR="00AF00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Food Safety.; Consumer information, labelling; Other</w:t>
            </w:r>
            <w:bookmarkEnd w:id="28"/>
          </w:p>
        </w:tc>
      </w:tr>
      <w:tr w:rsidR="00AF00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06D92" w:rsidP="008953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F008C" w:rsidRPr="002F6A28" w:rsidRDefault="00D06D92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Australia Standard 2.6.4 "Formulated Caffeinated Beverages"</w:t>
            </w:r>
          </w:p>
          <w:p w:rsidR="00AF008C" w:rsidRPr="002F6A28" w:rsidRDefault="00D06D92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Health Canada. (2012) Category Specific Guidance for Temporary Marketing Authorization- Caffeinated Energy Drinks: </w:t>
            </w:r>
            <w:r w:rsidRPr="00D06D92">
              <w:rPr>
                <w:bCs/>
              </w:rPr>
              <w:t>http://www.hc-sc.gc.ca/fn-an/alt_formats/pdf/legislation/guide-ld/guidance-.caf-drink-boiss-tma-amt-eng.pdf</w:t>
            </w:r>
            <w:r w:rsidRPr="002F6A28">
              <w:rPr>
                <w:bCs/>
              </w:rPr>
              <w:t>.</w:t>
            </w:r>
          </w:p>
          <w:p w:rsidR="00AF008C" w:rsidRPr="002F6A28" w:rsidRDefault="00D06D92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(EU) No.1169 food information to consumers Regulation</w:t>
            </w:r>
          </w:p>
        </w:tc>
      </w:tr>
      <w:tr w:rsidR="00AF008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06D9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06D92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D06D92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Six months from date of publication</w:t>
            </w:r>
            <w:bookmarkEnd w:id="35"/>
          </w:p>
        </w:tc>
      </w:tr>
      <w:tr w:rsidR="00AF00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06D92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AF008C" w:rsidRPr="00CD219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06D9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06D92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AF008C" w:rsidRPr="002F6A28" w:rsidRDefault="00CD2198" w:rsidP="00B16145">
            <w:pPr>
              <w:keepNext/>
              <w:keepLines/>
            </w:pPr>
            <w:hyperlink r:id="rId9" w:history="1">
              <w:r w:rsidR="00D06D92" w:rsidRPr="002F6A28">
                <w:rPr>
                  <w:color w:val="0000FF"/>
                  <w:u w:val="single"/>
                </w:rPr>
                <w:t>http://www.saso.gov.sa</w:t>
              </w:r>
            </w:hyperlink>
          </w:p>
          <w:p w:rsidR="00AF008C" w:rsidRPr="002F6A28" w:rsidRDefault="00D06D92" w:rsidP="00B16145">
            <w:pPr>
              <w:keepNext/>
              <w:keepLines/>
            </w:pPr>
            <w:r w:rsidRPr="002F6A28">
              <w:t>Saudi Standards, Metrology and Quality Organization (SASO)</w:t>
            </w:r>
          </w:p>
          <w:p w:rsidR="00AF008C" w:rsidRPr="002F6A28" w:rsidRDefault="00D06D92" w:rsidP="00B16145">
            <w:pPr>
              <w:keepNext/>
              <w:keepLines/>
            </w:pPr>
            <w:r w:rsidRPr="002F6A28">
              <w:t>P. O. BOX: 3437 Riyadh 11471</w:t>
            </w:r>
          </w:p>
          <w:p w:rsidR="00AF008C" w:rsidRPr="002F6A28" w:rsidRDefault="00D06D92" w:rsidP="00B16145">
            <w:pPr>
              <w:keepNext/>
              <w:keepLines/>
            </w:pPr>
            <w:r w:rsidRPr="002F6A28">
              <w:t>Tel: +966(11) 2529999  Ext : (9070-9061)</w:t>
            </w:r>
          </w:p>
          <w:p w:rsidR="00AF008C" w:rsidRPr="00D06D92" w:rsidRDefault="00D06D92" w:rsidP="00B16145">
            <w:pPr>
              <w:keepNext/>
              <w:keepLines/>
              <w:rPr>
                <w:lang w:val="fr-CH"/>
              </w:rPr>
            </w:pPr>
            <w:r w:rsidRPr="00D06D92">
              <w:rPr>
                <w:lang w:val="fr-CH"/>
              </w:rPr>
              <w:t>Fax +966(11)4520193</w:t>
            </w:r>
          </w:p>
          <w:p w:rsidR="00AF008C" w:rsidRPr="00D06D92" w:rsidRDefault="00D06D92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D06D92">
              <w:rPr>
                <w:lang w:val="fr-CH"/>
              </w:rPr>
              <w:t>Email:</w:t>
            </w:r>
            <w:proofErr w:type="gramEnd"/>
            <w:r w:rsidRPr="00D06D92">
              <w:rPr>
                <w:lang w:val="fr-CH"/>
              </w:rPr>
              <w:t xml:space="preserve"> </w:t>
            </w:r>
            <w:hyperlink r:id="rId10" w:history="1">
              <w:r w:rsidRPr="00194622">
                <w:rPr>
                  <w:rStyle w:val="Hyperlink"/>
                  <w:lang w:val="fr-CH"/>
                </w:rPr>
                <w:t>enquirypoint@saso.gov.sa</w:t>
              </w:r>
            </w:hyperlink>
            <w:r>
              <w:rPr>
                <w:lang w:val="fr-CH"/>
              </w:rPr>
              <w:t xml:space="preserve"> </w:t>
            </w:r>
          </w:p>
          <w:p w:rsidR="00AF008C" w:rsidRPr="00D06D92" w:rsidRDefault="00AF008C" w:rsidP="00B16145">
            <w:pPr>
              <w:keepNext/>
              <w:keepLines/>
              <w:spacing w:after="120"/>
              <w:rPr>
                <w:lang w:val="fr-CH"/>
              </w:rPr>
            </w:pPr>
          </w:p>
          <w:p w:rsidR="00AF008C" w:rsidRPr="000F4A0A" w:rsidRDefault="00CD2198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11" w:history="1">
              <w:r w:rsidR="00D06D92" w:rsidRPr="000F4A0A">
                <w:rPr>
                  <w:color w:val="0000FF"/>
                  <w:u w:val="single"/>
                  <w:lang w:val="fr-CH"/>
                </w:rPr>
                <w:t>https://members.wto.org/crnattachments/2019/TBT/SAU/19_1258_00_x.pdf</w:t>
              </w:r>
            </w:hyperlink>
            <w:bookmarkEnd w:id="41"/>
          </w:p>
        </w:tc>
      </w:tr>
    </w:tbl>
    <w:p w:rsidR="00EE3A11" w:rsidRPr="000F4A0A" w:rsidRDefault="00EE3A11" w:rsidP="002F6A28">
      <w:pPr>
        <w:rPr>
          <w:lang w:val="fr-CH"/>
        </w:rPr>
      </w:pPr>
    </w:p>
    <w:sectPr w:rsidR="00EE3A11" w:rsidRPr="000F4A0A" w:rsidSect="00D06D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C32" w:rsidRDefault="00D06D92">
      <w:r>
        <w:separator/>
      </w:r>
    </w:p>
  </w:endnote>
  <w:endnote w:type="continuationSeparator" w:id="0">
    <w:p w:rsidR="00631C32" w:rsidRDefault="00D0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06D92" w:rsidRDefault="00D06D92" w:rsidP="00D06D9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06D92" w:rsidRDefault="00D06D92" w:rsidP="00D06D9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06D9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C32" w:rsidRDefault="00D06D92">
      <w:r>
        <w:separator/>
      </w:r>
    </w:p>
  </w:footnote>
  <w:footnote w:type="continuationSeparator" w:id="0">
    <w:p w:rsidR="00631C32" w:rsidRDefault="00D0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92" w:rsidRPr="00D06D92" w:rsidRDefault="00D06D92" w:rsidP="00D06D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D92">
      <w:t>G/TBT/N/ARE/458 • G/TBT/N/BHR/562 • G/TBT/N/KWT/483 • G/TBT/N/OMN/395 • G/TBT/N/QAT/560 • G/TBT/N/SAU/1104</w:t>
    </w:r>
    <w:r>
      <w:t xml:space="preserve"> </w:t>
    </w:r>
    <w:r w:rsidRPr="00D06D92">
      <w:t>• G/TBT/N/</w:t>
    </w:r>
    <w:r>
      <w:t>YEM</w:t>
    </w:r>
    <w:r w:rsidRPr="00D06D92">
      <w:t>/</w:t>
    </w:r>
    <w:r>
      <w:t>163</w:t>
    </w:r>
  </w:p>
  <w:p w:rsidR="00D06D92" w:rsidRPr="00D06D92" w:rsidRDefault="00D06D92" w:rsidP="00D06D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6D92" w:rsidRPr="00D06D92" w:rsidRDefault="00D06D92" w:rsidP="00D06D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D92">
      <w:t xml:space="preserve">- </w:t>
    </w:r>
    <w:r w:rsidRPr="00D06D92">
      <w:fldChar w:fldCharType="begin"/>
    </w:r>
    <w:r w:rsidRPr="00D06D92">
      <w:instrText xml:space="preserve"> PAGE </w:instrText>
    </w:r>
    <w:r w:rsidRPr="00D06D92">
      <w:fldChar w:fldCharType="separate"/>
    </w:r>
    <w:r w:rsidR="00CD2198">
      <w:rPr>
        <w:noProof/>
      </w:rPr>
      <w:t>2</w:t>
    </w:r>
    <w:r w:rsidRPr="00D06D92">
      <w:fldChar w:fldCharType="end"/>
    </w:r>
    <w:r w:rsidRPr="00D06D92">
      <w:t xml:space="preserve"> -</w:t>
    </w:r>
  </w:p>
  <w:p w:rsidR="009239F7" w:rsidRPr="00D06D92" w:rsidRDefault="009239F7" w:rsidP="00D06D9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92" w:rsidRPr="00D06D92" w:rsidRDefault="00D06D92" w:rsidP="00D06D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D92">
      <w:t>G/TBT/N/ARE/458 • G/TBT/N/BHR/562 • G/TBT/N/KWT/483 • G/TBT/N/OMN/395 • G/TBT/N/QAT/560 • G/TBT/N/SAU/1104</w:t>
    </w:r>
  </w:p>
  <w:p w:rsidR="00D06D92" w:rsidRPr="00D06D92" w:rsidRDefault="00D06D92" w:rsidP="00D06D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6D92" w:rsidRPr="00D06D92" w:rsidRDefault="00D06D92" w:rsidP="00D06D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D92">
      <w:t xml:space="preserve">- </w:t>
    </w:r>
    <w:r w:rsidRPr="00D06D92">
      <w:fldChar w:fldCharType="begin"/>
    </w:r>
    <w:r w:rsidRPr="00D06D92">
      <w:instrText xml:space="preserve"> PAGE </w:instrText>
    </w:r>
    <w:r w:rsidRPr="00D06D92">
      <w:fldChar w:fldCharType="separate"/>
    </w:r>
    <w:r w:rsidRPr="00D06D92">
      <w:rPr>
        <w:noProof/>
      </w:rPr>
      <w:t>2</w:t>
    </w:r>
    <w:r w:rsidRPr="00D06D92">
      <w:fldChar w:fldCharType="end"/>
    </w:r>
    <w:r w:rsidRPr="00D06D92">
      <w:t xml:space="preserve"> -</w:t>
    </w:r>
  </w:p>
  <w:p w:rsidR="009239F7" w:rsidRPr="00D06D92" w:rsidRDefault="009239F7" w:rsidP="00D06D9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008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06D92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AF008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6240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F008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06D92" w:rsidRDefault="00D06D92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G/TBT/N/ARE/458, G/TBT/N/BHR/562</w:t>
          </w:r>
        </w:p>
        <w:p w:rsidR="00D06D92" w:rsidRDefault="00D06D92" w:rsidP="00B801E9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G/TBT/N/KWT/483, G/TBT/N/OMN/395</w:t>
          </w:r>
        </w:p>
        <w:p w:rsidR="00D06D92" w:rsidRDefault="00D06D92" w:rsidP="00B801E9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G/TBT/N/QAT/560, G/TBT/N/SAU/1104</w:t>
          </w:r>
        </w:p>
        <w:bookmarkEnd w:id="43"/>
        <w:p w:rsidR="009239F7" w:rsidRDefault="00D06D92" w:rsidP="00B801E9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G/TBT/N/YEM/163</w:t>
          </w:r>
        </w:p>
        <w:p w:rsidR="000F4A0A" w:rsidRPr="002F6A28" w:rsidRDefault="000F4A0A" w:rsidP="00B801E9">
          <w:pPr>
            <w:jc w:val="right"/>
            <w:rPr>
              <w:b/>
              <w:szCs w:val="16"/>
            </w:rPr>
          </w:pPr>
        </w:p>
      </w:tc>
    </w:tr>
    <w:tr w:rsidR="00AF008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F4A0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5 March 2019</w:t>
          </w:r>
        </w:p>
      </w:tc>
    </w:tr>
    <w:tr w:rsidR="00AF008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06D9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0F4A0A">
            <w:rPr>
              <w:color w:val="FF0000"/>
              <w:szCs w:val="16"/>
            </w:rPr>
            <w:t>19-</w:t>
          </w:r>
          <w:r w:rsidR="00CD2198">
            <w:rPr>
              <w:color w:val="FF0000"/>
              <w:szCs w:val="16"/>
            </w:rPr>
            <w:t>1269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06D9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D219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D2198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F008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06D92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06D92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E1A5E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4CB222" w:tentative="1">
      <w:start w:val="1"/>
      <w:numFmt w:val="lowerLetter"/>
      <w:lvlText w:val="%2."/>
      <w:lvlJc w:val="left"/>
      <w:pPr>
        <w:ind w:left="1080" w:hanging="360"/>
      </w:pPr>
    </w:lvl>
    <w:lvl w:ilvl="2" w:tplc="6BC28D88" w:tentative="1">
      <w:start w:val="1"/>
      <w:numFmt w:val="lowerRoman"/>
      <w:lvlText w:val="%3."/>
      <w:lvlJc w:val="right"/>
      <w:pPr>
        <w:ind w:left="1800" w:hanging="180"/>
      </w:pPr>
    </w:lvl>
    <w:lvl w:ilvl="3" w:tplc="FEE069FC" w:tentative="1">
      <w:start w:val="1"/>
      <w:numFmt w:val="decimal"/>
      <w:lvlText w:val="%4."/>
      <w:lvlJc w:val="left"/>
      <w:pPr>
        <w:ind w:left="2520" w:hanging="360"/>
      </w:pPr>
    </w:lvl>
    <w:lvl w:ilvl="4" w:tplc="58284DF2" w:tentative="1">
      <w:start w:val="1"/>
      <w:numFmt w:val="lowerLetter"/>
      <w:lvlText w:val="%5."/>
      <w:lvlJc w:val="left"/>
      <w:pPr>
        <w:ind w:left="3240" w:hanging="360"/>
      </w:pPr>
    </w:lvl>
    <w:lvl w:ilvl="5" w:tplc="8AF2C6A0" w:tentative="1">
      <w:start w:val="1"/>
      <w:numFmt w:val="lowerRoman"/>
      <w:lvlText w:val="%6."/>
      <w:lvlJc w:val="right"/>
      <w:pPr>
        <w:ind w:left="3960" w:hanging="180"/>
      </w:pPr>
    </w:lvl>
    <w:lvl w:ilvl="6" w:tplc="78CCA31A" w:tentative="1">
      <w:start w:val="1"/>
      <w:numFmt w:val="decimal"/>
      <w:lvlText w:val="%7."/>
      <w:lvlJc w:val="left"/>
      <w:pPr>
        <w:ind w:left="4680" w:hanging="360"/>
      </w:pPr>
    </w:lvl>
    <w:lvl w:ilvl="7" w:tplc="83FA9C72" w:tentative="1">
      <w:start w:val="1"/>
      <w:numFmt w:val="lowerLetter"/>
      <w:lvlText w:val="%8."/>
      <w:lvlJc w:val="left"/>
      <w:pPr>
        <w:ind w:left="5400" w:hanging="360"/>
      </w:pPr>
    </w:lvl>
    <w:lvl w:ilvl="8" w:tplc="442836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11A5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C8B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D40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A823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C0E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2828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8A31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C8EB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368E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4A0A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1C32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2403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008C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2198"/>
    <w:rsid w:val="00CD7D97"/>
    <w:rsid w:val="00CE3EE6"/>
    <w:rsid w:val="00CE4BA1"/>
    <w:rsid w:val="00D000C7"/>
    <w:rsid w:val="00D06D92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8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06D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so.gov.s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SAU/19_1258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ypoint@saso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so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2377</Characters>
  <Application>Microsoft Office Word</Application>
  <DocSecurity>0</DocSecurity>
  <Lines>66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2019-03-05T12:14:00Z</dcterms:created>
  <dcterms:modified xsi:type="dcterms:W3CDTF">2019-03-05T14:29:00Z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G/TBT/N/ARE/458</vt:lpwstr>
  </property>
  <property fmtid="{D5CDD505-2E9C-101B-9397-08002B2CF9AE}" pid="3" name="Symbol2">
    <vt:lpwstr>G/TBT/N/BHR/562</vt:lpwstr>
  </property>
  <property fmtid="{D5CDD505-2E9C-101B-9397-08002B2CF9AE}" pid="4" name="Symbol3">
    <vt:lpwstr>G/TBT/N/KWT/483</vt:lpwstr>
  </property>
  <property fmtid="{D5CDD505-2E9C-101B-9397-08002B2CF9AE}" pid="5" name="Symbol4">
    <vt:lpwstr>G/TBT/N/OMN/395</vt:lpwstr>
  </property>
  <property fmtid="{D5CDD505-2E9C-101B-9397-08002B2CF9AE}" pid="6" name="Symbol5">
    <vt:lpwstr>G/TBT/N/QAT/560</vt:lpwstr>
  </property>
  <property fmtid="{D5CDD505-2E9C-101B-9397-08002B2CF9AE}" pid="7" name="Symbol6">
    <vt:lpwstr>G/TBT/N/SAU/1104</vt:lpwstr>
  </property>
</Properties>
</file>