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2.0.0 -->
  <w:body>
    <w:p w:rsidR="00E72EF2" w:rsidRPr="009A6FBA">
      <w:pPr>
        <w:rPr>
          <w:rFonts w:ascii="Arial" w:hAnsi="Arial" w:cs="Arial"/>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7"/>
        <w:gridCol w:w="7507"/>
      </w:tblGrid>
      <w:tr w:rsidTr="000166D2">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0314" w:type="dxa"/>
            <w:gridSpan w:val="2"/>
            <w:tcBorders>
              <w:bottom w:val="single" w:sz="4" w:space="0" w:color="auto"/>
            </w:tcBorders>
            <w:shd w:val="clear" w:color="auto" w:fill="0000FF"/>
          </w:tcPr>
          <w:p w:rsidR="009E6661" w:rsidRPr="009A6FBA" w:rsidP="00824525">
            <w:pPr>
              <w:spacing w:before="60" w:after="60"/>
              <w:jc w:val="center"/>
              <w:rPr>
                <w:rFonts w:ascii="Arial" w:hAnsi="Arial" w:cs="Arial"/>
                <w:b/>
                <w:sz w:val="22"/>
                <w:szCs w:val="22"/>
              </w:rPr>
            </w:pPr>
            <w:r w:rsidRPr="009A6FBA">
              <w:rPr>
                <w:rFonts w:ascii="Arial" w:hAnsi="Arial" w:cs="Arial"/>
                <w:b/>
                <w:sz w:val="22"/>
                <w:szCs w:val="22"/>
              </w:rPr>
              <w:t>INCEPTION  IMPACT  ASSESSMENT</w:t>
            </w:r>
            <w:bookmarkStart w:id="0" w:name="_GoBack"/>
            <w:bookmarkEnd w:id="0"/>
          </w:p>
          <w:p w:rsidR="00745991" w:rsidRPr="009A6FBA" w:rsidP="00824525">
            <w:pPr>
              <w:spacing w:before="60" w:after="60"/>
              <w:jc w:val="center"/>
              <w:rPr>
                <w:rFonts w:ascii="Arial" w:hAnsi="Arial" w:cs="Arial"/>
                <w:b/>
                <w:i/>
                <w:sz w:val="22"/>
                <w:szCs w:val="22"/>
              </w:rPr>
            </w:pPr>
          </w:p>
        </w:tc>
      </w:tr>
      <w:tr w:rsidTr="005E580A">
        <w:tblPrEx>
          <w:tblW w:w="10314" w:type="dxa"/>
          <w:tblLayout w:type="fixed"/>
          <w:tblLook w:val="01E0"/>
        </w:tblPrEx>
        <w:tc>
          <w:tcPr>
            <w:tcW w:w="10314" w:type="dxa"/>
            <w:gridSpan w:val="2"/>
            <w:tcBorders>
              <w:bottom w:val="single" w:sz="4" w:space="0" w:color="auto"/>
            </w:tcBorders>
            <w:shd w:val="clear" w:color="auto" w:fill="E6E6E6"/>
          </w:tcPr>
          <w:p w:rsidR="00745991" w:rsidRPr="009A6FBA" w:rsidP="00333A70">
            <w:pPr>
              <w:spacing w:before="60" w:after="60"/>
              <w:jc w:val="both"/>
              <w:rPr>
                <w:rFonts w:ascii="Arial" w:hAnsi="Arial" w:cs="Arial"/>
                <w:color w:val="000080"/>
                <w:sz w:val="18"/>
                <w:szCs w:val="18"/>
              </w:rPr>
            </w:pPr>
            <w:r w:rsidRPr="009A6FBA">
              <w:rPr>
                <w:rFonts w:ascii="Arial" w:hAnsi="Arial" w:cs="Arial"/>
                <w:color w:val="000080"/>
                <w:sz w:val="18"/>
                <w:szCs w:val="18"/>
              </w:rPr>
              <w:t>Inception Impact Assessment</w:t>
            </w:r>
            <w:r w:rsidRPr="009A6FBA" w:rsidR="000909A1">
              <w:rPr>
                <w:rFonts w:ascii="Arial" w:hAnsi="Arial" w:cs="Arial"/>
                <w:color w:val="000080"/>
                <w:sz w:val="18"/>
                <w:szCs w:val="18"/>
              </w:rPr>
              <w:t>s</w:t>
            </w:r>
            <w:r w:rsidRPr="009A6FBA">
              <w:rPr>
                <w:rFonts w:ascii="Arial" w:hAnsi="Arial" w:cs="Arial"/>
                <w:color w:val="000080"/>
                <w:sz w:val="18"/>
                <w:szCs w:val="18"/>
              </w:rPr>
              <w:t xml:space="preserve"> aim to inform </w:t>
            </w:r>
            <w:r w:rsidRPr="009A6FBA" w:rsidR="00333A70">
              <w:rPr>
                <w:rFonts w:ascii="Arial" w:hAnsi="Arial" w:cs="Arial"/>
                <w:color w:val="000080"/>
                <w:sz w:val="18"/>
                <w:szCs w:val="18"/>
              </w:rPr>
              <w:t xml:space="preserve">citizens and </w:t>
            </w:r>
            <w:r w:rsidRPr="009A6FBA">
              <w:rPr>
                <w:rFonts w:ascii="Arial" w:hAnsi="Arial" w:cs="Arial"/>
                <w:color w:val="000080"/>
                <w:sz w:val="18"/>
                <w:szCs w:val="18"/>
              </w:rPr>
              <w:t xml:space="preserve">stakeholders about the Commission's </w:t>
            </w:r>
            <w:r w:rsidRPr="009A6FBA" w:rsidR="009F22CE">
              <w:rPr>
                <w:rFonts w:ascii="Arial" w:hAnsi="Arial" w:cs="Arial"/>
                <w:color w:val="000080"/>
                <w:sz w:val="18"/>
                <w:szCs w:val="18"/>
              </w:rPr>
              <w:t>plans</w:t>
            </w:r>
            <w:r w:rsidRPr="009A6FBA">
              <w:rPr>
                <w:rFonts w:ascii="Arial" w:hAnsi="Arial" w:cs="Arial"/>
                <w:color w:val="000080"/>
                <w:sz w:val="18"/>
                <w:szCs w:val="18"/>
              </w:rPr>
              <w:t xml:space="preserve"> in order to allow them to provide feedback on the intended initiative and to participate effectively in future consultation activities. </w:t>
            </w:r>
            <w:r w:rsidRPr="009A6FBA" w:rsidR="000909A1">
              <w:rPr>
                <w:rFonts w:ascii="Arial" w:hAnsi="Arial" w:cs="Arial"/>
                <w:color w:val="000080"/>
                <w:sz w:val="18"/>
                <w:szCs w:val="18"/>
              </w:rPr>
              <w:t>Citizens and s</w:t>
            </w:r>
            <w:r w:rsidRPr="009A6FBA">
              <w:rPr>
                <w:rFonts w:ascii="Arial" w:hAnsi="Arial" w:cs="Arial"/>
                <w:color w:val="000080"/>
                <w:sz w:val="18"/>
                <w:szCs w:val="18"/>
              </w:rPr>
              <w:t>takeholders are in particular invited to provide views on the Commission's understanding of the problem and possible solutions and to make available any relevant information that they may have, including on possible impacts of the different options.</w:t>
            </w:r>
          </w:p>
        </w:tc>
      </w:tr>
      <w:tr w:rsidTr="000166D2">
        <w:tblPrEx>
          <w:tblW w:w="10314" w:type="dxa"/>
          <w:tblLayout w:type="fixed"/>
          <w:tblLook w:val="01E0"/>
        </w:tblPrEx>
        <w:tc>
          <w:tcPr>
            <w:tcW w:w="2807" w:type="dxa"/>
            <w:tcBorders>
              <w:bottom w:val="single" w:sz="4" w:space="0" w:color="auto"/>
            </w:tcBorders>
            <w:shd w:val="clear" w:color="auto" w:fill="E6E6E6"/>
          </w:tcPr>
          <w:p w:rsidR="009E6661" w:rsidRPr="009A6FBA" w:rsidP="00824525">
            <w:pPr>
              <w:spacing w:before="60" w:after="60"/>
              <w:jc w:val="both"/>
              <w:rPr>
                <w:rFonts w:ascii="Arial" w:hAnsi="Arial" w:cs="Arial"/>
                <w:b/>
                <w:bCs/>
                <w:smallCaps/>
                <w:sz w:val="20"/>
                <w:szCs w:val="20"/>
              </w:rPr>
            </w:pPr>
            <w:r w:rsidRPr="009A6FBA">
              <w:rPr>
                <w:rFonts w:ascii="Arial" w:hAnsi="Arial" w:cs="Arial"/>
                <w:b/>
                <w:bCs/>
                <w:smallCaps/>
                <w:sz w:val="20"/>
                <w:szCs w:val="20"/>
              </w:rPr>
              <w:t>Title of the initiative</w:t>
            </w:r>
          </w:p>
        </w:tc>
        <w:tc>
          <w:tcPr>
            <w:tcW w:w="7507" w:type="dxa"/>
            <w:shd w:val="clear" w:color="auto" w:fill="auto"/>
          </w:tcPr>
          <w:p w:rsidR="00BF2D27" w:rsidRPr="009A6FBA" w:rsidP="000272D4">
            <w:pPr>
              <w:spacing w:before="60" w:after="60"/>
              <w:jc w:val="both"/>
              <w:rPr>
                <w:rFonts w:ascii="Arial" w:hAnsi="Arial" w:cs="Arial"/>
                <w:color w:val="000080"/>
                <w:sz w:val="20"/>
                <w:szCs w:val="20"/>
              </w:rPr>
            </w:pPr>
            <w:r w:rsidRPr="009A6FBA">
              <w:rPr>
                <w:rFonts w:ascii="Arial" w:hAnsi="Arial" w:cs="Arial"/>
                <w:i/>
                <w:color w:val="000080"/>
                <w:sz w:val="20"/>
                <w:szCs w:val="20"/>
              </w:rPr>
              <w:t xml:space="preserve">Legislative proposal on substantiating </w:t>
            </w:r>
            <w:r w:rsidRPr="009A6FBA" w:rsidR="000272D4">
              <w:rPr>
                <w:rFonts w:ascii="Arial" w:hAnsi="Arial" w:cs="Arial"/>
                <w:i/>
                <w:color w:val="000080"/>
                <w:sz w:val="20"/>
                <w:szCs w:val="20"/>
              </w:rPr>
              <w:t xml:space="preserve">green </w:t>
            </w:r>
            <w:r w:rsidRPr="009A6FBA">
              <w:rPr>
                <w:rFonts w:ascii="Arial" w:hAnsi="Arial" w:cs="Arial"/>
                <w:i/>
                <w:color w:val="000080"/>
                <w:sz w:val="20"/>
                <w:szCs w:val="20"/>
              </w:rPr>
              <w:t xml:space="preserve">claims </w:t>
            </w:r>
          </w:p>
        </w:tc>
      </w:tr>
      <w:tr w:rsidTr="005E580A">
        <w:tblPrEx>
          <w:tblW w:w="10314" w:type="dxa"/>
          <w:tblLayout w:type="fixed"/>
          <w:tblLook w:val="01E0"/>
        </w:tblPrEx>
        <w:tc>
          <w:tcPr>
            <w:tcW w:w="2807" w:type="dxa"/>
            <w:tcBorders>
              <w:bottom w:val="single" w:sz="4" w:space="0" w:color="auto"/>
              <w:right w:val="single" w:sz="4" w:space="0" w:color="auto"/>
            </w:tcBorders>
            <w:shd w:val="clear" w:color="auto" w:fill="E6E6E6"/>
          </w:tcPr>
          <w:p w:rsidR="005D7950" w:rsidRPr="009A6FBA" w:rsidP="00085D8B">
            <w:pPr>
              <w:spacing w:before="60" w:after="60"/>
              <w:jc w:val="both"/>
              <w:rPr>
                <w:rFonts w:ascii="Arial" w:hAnsi="Arial" w:cs="Arial"/>
                <w:b/>
                <w:bCs/>
                <w:smallCaps/>
                <w:sz w:val="20"/>
                <w:szCs w:val="20"/>
              </w:rPr>
            </w:pPr>
            <w:r w:rsidRPr="009A6FBA">
              <w:rPr>
                <w:rFonts w:ascii="Arial" w:hAnsi="Arial" w:cs="Arial"/>
                <w:b/>
                <w:bCs/>
                <w:smallCaps/>
                <w:sz w:val="20"/>
                <w:szCs w:val="20"/>
              </w:rPr>
              <w:t xml:space="preserve">Lead DG (responsible unit) </w:t>
            </w:r>
          </w:p>
        </w:tc>
        <w:tc>
          <w:tcPr>
            <w:tcW w:w="7507" w:type="dxa"/>
            <w:tcBorders>
              <w:top w:val="single" w:sz="4" w:space="0" w:color="auto"/>
              <w:left w:val="single" w:sz="4" w:space="0" w:color="auto"/>
              <w:bottom w:val="single" w:sz="4" w:space="0" w:color="auto"/>
              <w:right w:val="single" w:sz="4" w:space="0" w:color="auto"/>
            </w:tcBorders>
            <w:shd w:val="clear" w:color="auto" w:fill="auto"/>
          </w:tcPr>
          <w:p w:rsidR="005D7950" w:rsidRPr="009A6FBA" w:rsidP="00CA4F38">
            <w:pPr>
              <w:spacing w:before="60" w:after="60"/>
              <w:jc w:val="both"/>
              <w:rPr>
                <w:rFonts w:ascii="Arial" w:hAnsi="Arial" w:cs="Arial"/>
                <w:color w:val="000080"/>
                <w:sz w:val="22"/>
                <w:szCs w:val="22"/>
              </w:rPr>
            </w:pPr>
            <w:r w:rsidRPr="009A6FBA">
              <w:rPr>
                <w:rFonts w:ascii="Arial" w:hAnsi="Arial" w:cs="Arial"/>
                <w:i/>
                <w:color w:val="000080"/>
                <w:sz w:val="20"/>
                <w:szCs w:val="20"/>
              </w:rPr>
              <w:t>DG Environment, Unit B1 – Sustainable Production, Products and Consumption</w:t>
            </w:r>
          </w:p>
        </w:tc>
      </w:tr>
      <w:tr w:rsidTr="000166D2">
        <w:tblPrEx>
          <w:tblW w:w="10314" w:type="dxa"/>
          <w:tblLayout w:type="fixed"/>
          <w:tblLook w:val="01E0"/>
        </w:tblPrEx>
        <w:tc>
          <w:tcPr>
            <w:tcW w:w="2807" w:type="dxa"/>
            <w:tcBorders>
              <w:bottom w:val="single" w:sz="4" w:space="0" w:color="auto"/>
              <w:right w:val="single" w:sz="4" w:space="0" w:color="auto"/>
            </w:tcBorders>
            <w:shd w:val="clear" w:color="auto" w:fill="E6E6E6"/>
          </w:tcPr>
          <w:p w:rsidR="00423AEF" w:rsidRPr="009A6FBA" w:rsidP="00824525">
            <w:pPr>
              <w:spacing w:before="60" w:after="60"/>
              <w:jc w:val="both"/>
              <w:rPr>
                <w:rFonts w:ascii="Arial" w:hAnsi="Arial" w:cs="Arial"/>
                <w:b/>
                <w:bCs/>
                <w:smallCaps/>
                <w:sz w:val="20"/>
                <w:szCs w:val="20"/>
              </w:rPr>
            </w:pPr>
            <w:r w:rsidRPr="009A6FBA">
              <w:rPr>
                <w:rFonts w:ascii="Arial" w:hAnsi="Arial" w:cs="Arial"/>
                <w:b/>
                <w:bCs/>
                <w:smallCaps/>
                <w:sz w:val="20"/>
                <w:szCs w:val="20"/>
              </w:rPr>
              <w:t>Likely Type of initiative</w:t>
            </w:r>
          </w:p>
        </w:tc>
        <w:tc>
          <w:tcPr>
            <w:tcW w:w="7507" w:type="dxa"/>
            <w:tcBorders>
              <w:top w:val="single" w:sz="4" w:space="0" w:color="auto"/>
              <w:left w:val="single" w:sz="4" w:space="0" w:color="auto"/>
              <w:bottom w:val="single" w:sz="4" w:space="0" w:color="auto"/>
              <w:right w:val="single" w:sz="4" w:space="0" w:color="auto"/>
            </w:tcBorders>
            <w:shd w:val="clear" w:color="auto" w:fill="auto"/>
          </w:tcPr>
          <w:p w:rsidR="00423AEF" w:rsidRPr="009A6FBA" w:rsidP="00BD770F">
            <w:pPr>
              <w:spacing w:before="60" w:after="60"/>
              <w:jc w:val="both"/>
              <w:rPr>
                <w:rFonts w:ascii="Arial" w:hAnsi="Arial" w:cs="Arial"/>
                <w:i/>
                <w:color w:val="000080"/>
                <w:sz w:val="20"/>
                <w:szCs w:val="20"/>
              </w:rPr>
            </w:pPr>
            <w:r w:rsidRPr="009A6FBA">
              <w:rPr>
                <w:rFonts w:ascii="Arial" w:hAnsi="Arial" w:cs="Arial"/>
                <w:i/>
                <w:color w:val="000080"/>
                <w:sz w:val="20"/>
                <w:szCs w:val="20"/>
              </w:rPr>
              <w:t xml:space="preserve">Legislative </w:t>
            </w:r>
          </w:p>
        </w:tc>
      </w:tr>
      <w:tr w:rsidTr="000166D2">
        <w:tblPrEx>
          <w:tblW w:w="10314" w:type="dxa"/>
          <w:tblLayout w:type="fixed"/>
          <w:tblLook w:val="01E0"/>
        </w:tblPrEx>
        <w:tc>
          <w:tcPr>
            <w:tcW w:w="2807" w:type="dxa"/>
            <w:tcBorders>
              <w:bottom w:val="single" w:sz="4" w:space="0" w:color="auto"/>
              <w:right w:val="single" w:sz="4" w:space="0" w:color="auto"/>
            </w:tcBorders>
            <w:shd w:val="clear" w:color="auto" w:fill="E6E6E6"/>
          </w:tcPr>
          <w:p w:rsidR="00002DFF" w:rsidRPr="009A6FBA" w:rsidP="00234D8B">
            <w:pPr>
              <w:spacing w:before="60" w:after="60"/>
              <w:jc w:val="both"/>
              <w:rPr>
                <w:rFonts w:ascii="Arial" w:hAnsi="Arial" w:cs="Arial"/>
                <w:b/>
                <w:bCs/>
                <w:smallCaps/>
                <w:sz w:val="20"/>
                <w:szCs w:val="20"/>
              </w:rPr>
            </w:pPr>
            <w:r w:rsidRPr="009A6FBA">
              <w:rPr>
                <w:rFonts w:ascii="Arial" w:hAnsi="Arial" w:cs="Arial"/>
                <w:b/>
                <w:bCs/>
                <w:smallCaps/>
                <w:sz w:val="20"/>
                <w:szCs w:val="20"/>
              </w:rPr>
              <w:t>Indicative Planning</w:t>
            </w:r>
          </w:p>
        </w:tc>
        <w:tc>
          <w:tcPr>
            <w:tcW w:w="7507" w:type="dxa"/>
            <w:tcBorders>
              <w:top w:val="single" w:sz="4" w:space="0" w:color="auto"/>
              <w:left w:val="single" w:sz="4" w:space="0" w:color="auto"/>
              <w:bottom w:val="single" w:sz="4" w:space="0" w:color="auto"/>
              <w:right w:val="single" w:sz="4" w:space="0" w:color="auto"/>
            </w:tcBorders>
            <w:shd w:val="clear" w:color="auto" w:fill="auto"/>
          </w:tcPr>
          <w:p w:rsidR="00002DFF" w:rsidRPr="009A6FBA" w:rsidP="000272D4">
            <w:pPr>
              <w:spacing w:before="60" w:after="60"/>
              <w:jc w:val="both"/>
              <w:rPr>
                <w:rFonts w:ascii="Arial" w:hAnsi="Arial" w:cs="Arial"/>
                <w:i/>
                <w:color w:val="000080"/>
                <w:sz w:val="20"/>
                <w:szCs w:val="20"/>
              </w:rPr>
            </w:pPr>
            <w:r w:rsidRPr="009A6FBA">
              <w:rPr>
                <w:rFonts w:ascii="Arial" w:hAnsi="Arial" w:cs="Arial"/>
                <w:i/>
                <w:color w:val="000080"/>
                <w:sz w:val="20"/>
                <w:szCs w:val="20"/>
              </w:rPr>
              <w:t>Q</w:t>
            </w:r>
            <w:r w:rsidRPr="009A6FBA" w:rsidR="000272D4">
              <w:rPr>
                <w:rFonts w:ascii="Arial" w:hAnsi="Arial" w:cs="Arial"/>
                <w:i/>
                <w:color w:val="000080"/>
                <w:sz w:val="20"/>
                <w:szCs w:val="20"/>
              </w:rPr>
              <w:t>2</w:t>
            </w:r>
            <w:r w:rsidRPr="009A6FBA">
              <w:rPr>
                <w:rFonts w:ascii="Arial" w:hAnsi="Arial" w:cs="Arial"/>
                <w:i/>
                <w:color w:val="000080"/>
                <w:sz w:val="20"/>
                <w:szCs w:val="20"/>
              </w:rPr>
              <w:t xml:space="preserve"> </w:t>
            </w:r>
            <w:r w:rsidRPr="009A6FBA" w:rsidR="000272D4">
              <w:rPr>
                <w:rFonts w:ascii="Arial" w:hAnsi="Arial" w:cs="Arial"/>
                <w:i/>
                <w:color w:val="000080"/>
                <w:sz w:val="20"/>
                <w:szCs w:val="20"/>
              </w:rPr>
              <w:t>2021</w:t>
            </w:r>
          </w:p>
        </w:tc>
      </w:tr>
      <w:tr w:rsidTr="000166D2">
        <w:tblPrEx>
          <w:tblW w:w="10314" w:type="dxa"/>
          <w:tblLayout w:type="fixed"/>
          <w:tblLook w:val="01E0"/>
        </w:tblPrEx>
        <w:tc>
          <w:tcPr>
            <w:tcW w:w="2807" w:type="dxa"/>
            <w:tcBorders>
              <w:bottom w:val="single" w:sz="4" w:space="0" w:color="auto"/>
              <w:right w:val="single" w:sz="4" w:space="0" w:color="auto"/>
            </w:tcBorders>
            <w:shd w:val="clear" w:color="auto" w:fill="E6E6E6"/>
          </w:tcPr>
          <w:p w:rsidR="008D5042" w:rsidRPr="009A6FBA" w:rsidP="00224B13">
            <w:pPr>
              <w:spacing w:before="60" w:after="60"/>
              <w:jc w:val="both"/>
              <w:rPr>
                <w:rFonts w:ascii="Arial" w:hAnsi="Arial" w:cs="Arial"/>
                <w:b/>
                <w:bCs/>
                <w:smallCaps/>
                <w:sz w:val="20"/>
                <w:szCs w:val="20"/>
              </w:rPr>
            </w:pPr>
            <w:r w:rsidRPr="009A6FBA">
              <w:rPr>
                <w:rFonts w:ascii="Arial" w:hAnsi="Arial" w:cs="Arial"/>
                <w:b/>
                <w:bCs/>
                <w:smallCaps/>
                <w:sz w:val="20"/>
                <w:szCs w:val="20"/>
              </w:rPr>
              <w:t>Additional Information</w:t>
            </w:r>
          </w:p>
        </w:tc>
        <w:tc>
          <w:tcPr>
            <w:tcW w:w="7507" w:type="dxa"/>
            <w:tcBorders>
              <w:top w:val="single" w:sz="4" w:space="0" w:color="auto"/>
              <w:left w:val="single" w:sz="4" w:space="0" w:color="auto"/>
              <w:bottom w:val="single" w:sz="4" w:space="0" w:color="auto"/>
              <w:right w:val="single" w:sz="4" w:space="0" w:color="auto"/>
            </w:tcBorders>
            <w:shd w:val="clear" w:color="auto" w:fill="auto"/>
          </w:tcPr>
          <w:p w:rsidR="008D5042" w:rsidRPr="009A6FBA" w:rsidP="00745991">
            <w:pPr>
              <w:spacing w:before="60" w:after="60"/>
              <w:jc w:val="both"/>
              <w:rPr>
                <w:rFonts w:ascii="Arial" w:hAnsi="Arial" w:cs="Arial"/>
                <w:i/>
                <w:color w:val="000080"/>
                <w:sz w:val="20"/>
                <w:szCs w:val="20"/>
              </w:rPr>
            </w:pPr>
            <w:r>
              <w:fldChar w:fldCharType="begin"/>
            </w:r>
            <w:r>
              <w:instrText xml:space="preserve"> HYPERLINK "https://ec.europa.eu/environment/eussd/smgp/" </w:instrText>
            </w:r>
            <w:r>
              <w:fldChar w:fldCharType="separate"/>
            </w:r>
            <w:r w:rsidRPr="009A6FBA" w:rsidR="00DF2759">
              <w:rPr>
                <w:rStyle w:val="Hyperlink"/>
                <w:rFonts w:ascii="Arial" w:hAnsi="Arial" w:cs="Arial"/>
                <w:i/>
                <w:sz w:val="20"/>
                <w:szCs w:val="20"/>
              </w:rPr>
              <w:t>https://ec.europa.eu/environment/eussd/smgp/</w:t>
            </w:r>
            <w:r>
              <w:fldChar w:fldCharType="end"/>
            </w:r>
            <w:r w:rsidRPr="009A6FBA" w:rsidR="00DF2759">
              <w:rPr>
                <w:rFonts w:ascii="Arial" w:hAnsi="Arial" w:cs="Arial"/>
                <w:i/>
                <w:color w:val="000080"/>
                <w:sz w:val="20"/>
                <w:szCs w:val="20"/>
              </w:rPr>
              <w:t xml:space="preserve"> </w:t>
            </w:r>
          </w:p>
        </w:tc>
      </w:tr>
      <w:tr w:rsidTr="000166D2">
        <w:tblPrEx>
          <w:tblW w:w="10314" w:type="dxa"/>
          <w:tblLayout w:type="fixed"/>
          <w:tblLook w:val="01E0"/>
        </w:tblPrEx>
        <w:tc>
          <w:tcPr>
            <w:tcW w:w="10314" w:type="dxa"/>
            <w:gridSpan w:val="2"/>
            <w:tcBorders>
              <w:bottom w:val="single" w:sz="4" w:space="0" w:color="auto"/>
              <w:right w:val="single" w:sz="4" w:space="0" w:color="auto"/>
            </w:tcBorders>
            <w:shd w:val="clear" w:color="auto" w:fill="E6E6E6"/>
          </w:tcPr>
          <w:p w:rsidR="000E57ED" w:rsidRPr="009A6FBA" w:rsidP="000E57ED">
            <w:pPr>
              <w:spacing w:before="60" w:after="60"/>
              <w:jc w:val="both"/>
              <w:rPr>
                <w:rFonts w:ascii="Arial" w:hAnsi="Arial" w:cs="Arial"/>
                <w:b/>
                <w:color w:val="FF0000"/>
                <w:sz w:val="18"/>
                <w:szCs w:val="18"/>
              </w:rPr>
            </w:pPr>
            <w:r w:rsidRPr="009A6FBA">
              <w:rPr>
                <w:rFonts w:ascii="Arial" w:hAnsi="Arial" w:cs="Arial"/>
                <w:b/>
                <w:color w:val="FF0000"/>
                <w:sz w:val="18"/>
                <w:szCs w:val="18"/>
              </w:rPr>
              <w:t xml:space="preserve">The </w:t>
            </w:r>
            <w:r w:rsidRPr="009A6FBA" w:rsidR="00F50985">
              <w:rPr>
                <w:rFonts w:ascii="Arial" w:hAnsi="Arial" w:cs="Arial"/>
                <w:b/>
                <w:color w:val="FF0000"/>
                <w:sz w:val="18"/>
                <w:szCs w:val="18"/>
              </w:rPr>
              <w:t xml:space="preserve">Inception Impact Assessment </w:t>
            </w:r>
            <w:r w:rsidRPr="009A6FBA">
              <w:rPr>
                <w:rFonts w:ascii="Arial" w:hAnsi="Arial" w:cs="Arial"/>
                <w:b/>
                <w:color w:val="FF0000"/>
                <w:sz w:val="18"/>
                <w:szCs w:val="18"/>
              </w:rPr>
              <w:t xml:space="preserve">is provided for information purposes only. </w:t>
            </w:r>
            <w:r w:rsidRPr="009A6FBA" w:rsidR="009120B1">
              <w:rPr>
                <w:rFonts w:ascii="Arial" w:hAnsi="Arial" w:cs="Arial"/>
                <w:b/>
                <w:color w:val="FF0000"/>
                <w:sz w:val="18"/>
                <w:szCs w:val="18"/>
              </w:rPr>
              <w:t>I</w:t>
            </w:r>
            <w:r w:rsidRPr="009A6FBA" w:rsidR="00745991">
              <w:rPr>
                <w:rFonts w:ascii="Arial" w:hAnsi="Arial" w:cs="Arial"/>
                <w:b/>
                <w:color w:val="FF0000"/>
                <w:sz w:val="18"/>
                <w:szCs w:val="18"/>
              </w:rPr>
              <w:t xml:space="preserve">t </w:t>
            </w:r>
            <w:r w:rsidRPr="009A6FBA">
              <w:rPr>
                <w:rFonts w:ascii="Arial" w:hAnsi="Arial" w:cs="Arial"/>
                <w:b/>
                <w:color w:val="FF0000"/>
                <w:sz w:val="18"/>
                <w:szCs w:val="18"/>
              </w:rPr>
              <w:t xml:space="preserve">does not prejudge the final decision of the Commission on whether this initiative will be </w:t>
            </w:r>
            <w:r w:rsidRPr="009A6FBA" w:rsidR="00085D8B">
              <w:rPr>
                <w:rFonts w:ascii="Arial" w:hAnsi="Arial" w:cs="Arial"/>
                <w:b/>
                <w:color w:val="FF0000"/>
                <w:sz w:val="18"/>
                <w:szCs w:val="18"/>
              </w:rPr>
              <w:t xml:space="preserve">pursued </w:t>
            </w:r>
            <w:r w:rsidRPr="009A6FBA">
              <w:rPr>
                <w:rFonts w:ascii="Arial" w:hAnsi="Arial" w:cs="Arial"/>
                <w:b/>
                <w:color w:val="FF0000"/>
                <w:sz w:val="18"/>
                <w:szCs w:val="18"/>
              </w:rPr>
              <w:t xml:space="preserve">or on its final content. </w:t>
            </w:r>
            <w:r w:rsidRPr="009A6FBA" w:rsidR="00745991">
              <w:rPr>
                <w:rFonts w:ascii="Arial" w:hAnsi="Arial" w:cs="Arial"/>
                <w:b/>
                <w:color w:val="FF0000"/>
                <w:sz w:val="18"/>
                <w:szCs w:val="18"/>
              </w:rPr>
              <w:t xml:space="preserve">All elements of the initiative described by the Inception </w:t>
            </w:r>
            <w:r w:rsidRPr="009A6FBA" w:rsidR="009120B1">
              <w:rPr>
                <w:rFonts w:ascii="Arial" w:hAnsi="Arial" w:cs="Arial"/>
                <w:b/>
                <w:color w:val="FF0000"/>
                <w:sz w:val="18"/>
                <w:szCs w:val="18"/>
              </w:rPr>
              <w:t>i</w:t>
            </w:r>
            <w:r w:rsidRPr="009A6FBA" w:rsidR="00745991">
              <w:rPr>
                <w:rFonts w:ascii="Arial" w:hAnsi="Arial" w:cs="Arial"/>
                <w:b/>
                <w:color w:val="FF0000"/>
                <w:sz w:val="18"/>
                <w:szCs w:val="18"/>
              </w:rPr>
              <w:t xml:space="preserve">mpact </w:t>
            </w:r>
            <w:r w:rsidRPr="009A6FBA" w:rsidR="009120B1">
              <w:rPr>
                <w:rFonts w:ascii="Arial" w:hAnsi="Arial" w:cs="Arial"/>
                <w:b/>
                <w:color w:val="FF0000"/>
                <w:sz w:val="18"/>
                <w:szCs w:val="18"/>
              </w:rPr>
              <w:t>a</w:t>
            </w:r>
            <w:r w:rsidRPr="009A6FBA" w:rsidR="00745991">
              <w:rPr>
                <w:rFonts w:ascii="Arial" w:hAnsi="Arial" w:cs="Arial"/>
                <w:b/>
                <w:color w:val="FF0000"/>
                <w:sz w:val="18"/>
                <w:szCs w:val="18"/>
              </w:rPr>
              <w:t>ssessment, including its timing, are subject to change.</w:t>
            </w:r>
          </w:p>
          <w:p w:rsidR="00A120FB" w:rsidRPr="009A6FBA" w:rsidP="00FB2E6E">
            <w:pPr>
              <w:spacing w:before="60" w:after="60"/>
              <w:jc w:val="both"/>
              <w:rPr>
                <w:rFonts w:ascii="Arial" w:hAnsi="Arial" w:cs="Arial"/>
                <w:b/>
                <w:i/>
                <w:color w:val="FF0000"/>
                <w:sz w:val="18"/>
                <w:szCs w:val="18"/>
              </w:rPr>
            </w:pPr>
          </w:p>
        </w:tc>
      </w:tr>
    </w:tbl>
    <w:p w:rsidR="00BA33B7" w:rsidRPr="009A6FBA">
      <w:pPr>
        <w:rPr>
          <w:rFonts w:ascii="Arial" w:hAnsi="Arial" w:cs="Arial"/>
        </w:rPr>
        <w:sectPr w:rsidSect="00E72EF2">
          <w:headerReference w:type="even" r:id="rId7"/>
          <w:headerReference w:type="default" r:id="rId8"/>
          <w:footerReference w:type="even" r:id="rId9"/>
          <w:footerReference w:type="default" r:id="rId10"/>
          <w:headerReference w:type="first" r:id="rId11"/>
          <w:footerReference w:type="first" r:id="rId12"/>
          <w:pgSz w:w="11906" w:h="16838" w:code="9"/>
          <w:pgMar w:top="851" w:right="567" w:bottom="851" w:left="1134" w:header="709" w:footer="709" w:gutter="0"/>
          <w:cols w:space="708"/>
          <w:titlePg/>
          <w:docGrid w:linePitch="360"/>
        </w:sectPr>
      </w:pPr>
    </w:p>
    <w:p w:rsidR="00BA33B7" w:rsidRPr="009A6FBA">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Tr="00203E25">
        <w:tblPrEx>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314" w:type="dxa"/>
            <w:tcBorders>
              <w:bottom w:val="single" w:sz="4" w:space="0" w:color="auto"/>
            </w:tcBorders>
            <w:shd w:val="clear" w:color="auto" w:fill="0000FF"/>
          </w:tcPr>
          <w:p w:rsidR="009E6661" w:rsidRPr="009A6FBA" w:rsidP="00346371">
            <w:pPr>
              <w:spacing w:before="60" w:after="60"/>
              <w:jc w:val="center"/>
              <w:rPr>
                <w:rFonts w:ascii="Arial" w:hAnsi="Arial" w:cs="Arial"/>
                <w:b/>
                <w:sz w:val="22"/>
                <w:szCs w:val="22"/>
              </w:rPr>
            </w:pPr>
            <w:r w:rsidRPr="009A6FBA">
              <w:rPr>
                <w:rFonts w:ascii="Arial" w:hAnsi="Arial" w:cs="Arial"/>
                <w:b/>
                <w:sz w:val="22"/>
                <w:szCs w:val="22"/>
              </w:rPr>
              <w:t>A. Context</w:t>
            </w:r>
            <w:r w:rsidRPr="009A6FBA" w:rsidR="001A225A">
              <w:rPr>
                <w:rFonts w:ascii="Arial" w:hAnsi="Arial" w:cs="Arial"/>
                <w:b/>
                <w:sz w:val="22"/>
                <w:szCs w:val="22"/>
              </w:rPr>
              <w:t xml:space="preserve">, Problem </w:t>
            </w:r>
            <w:r w:rsidRPr="009A6FBA" w:rsidR="00D867F4">
              <w:rPr>
                <w:rFonts w:ascii="Arial" w:hAnsi="Arial" w:cs="Arial"/>
                <w:b/>
                <w:sz w:val="22"/>
                <w:szCs w:val="22"/>
              </w:rPr>
              <w:t xml:space="preserve">definition </w:t>
            </w:r>
            <w:r w:rsidRPr="009A6FBA" w:rsidR="001A225A">
              <w:rPr>
                <w:rFonts w:ascii="Arial" w:hAnsi="Arial" w:cs="Arial"/>
                <w:b/>
                <w:sz w:val="22"/>
                <w:szCs w:val="22"/>
              </w:rPr>
              <w:t xml:space="preserve">and </w:t>
            </w:r>
            <w:r w:rsidRPr="009A6FBA" w:rsidR="00346371">
              <w:rPr>
                <w:rFonts w:ascii="Arial" w:hAnsi="Arial" w:cs="Arial"/>
                <w:b/>
                <w:sz w:val="22"/>
                <w:szCs w:val="22"/>
              </w:rPr>
              <w:t>S</w:t>
            </w:r>
            <w:r w:rsidRPr="009A6FBA" w:rsidR="00F84926">
              <w:rPr>
                <w:rFonts w:ascii="Arial" w:hAnsi="Arial" w:cs="Arial"/>
                <w:b/>
                <w:sz w:val="22"/>
                <w:szCs w:val="22"/>
              </w:rPr>
              <w:t xml:space="preserve">ubsidiarity </w:t>
            </w:r>
            <w:r w:rsidRPr="009A6FBA" w:rsidR="00346371">
              <w:rPr>
                <w:rFonts w:ascii="Arial" w:hAnsi="Arial" w:cs="Arial"/>
                <w:b/>
                <w:sz w:val="22"/>
                <w:szCs w:val="22"/>
              </w:rPr>
              <w:t>C</w:t>
            </w:r>
            <w:r w:rsidRPr="009A6FBA" w:rsidR="00F84926">
              <w:rPr>
                <w:rFonts w:ascii="Arial" w:hAnsi="Arial" w:cs="Arial"/>
                <w:b/>
                <w:sz w:val="22"/>
                <w:szCs w:val="22"/>
              </w:rPr>
              <w:t>heck</w:t>
            </w:r>
          </w:p>
        </w:tc>
      </w:tr>
      <w:tr w:rsidTr="00203E25">
        <w:tblPrEx>
          <w:tblW w:w="10314" w:type="dxa"/>
          <w:tblLook w:val="01E0"/>
        </w:tblPrEx>
        <w:tc>
          <w:tcPr>
            <w:tcW w:w="10314" w:type="dxa"/>
            <w:tcBorders>
              <w:bottom w:val="single" w:sz="4" w:space="0" w:color="auto"/>
            </w:tcBorders>
            <w:shd w:val="clear" w:color="auto" w:fill="E6E6E6"/>
          </w:tcPr>
          <w:p w:rsidR="009E6661" w:rsidRPr="009A6FBA">
            <w:pPr>
              <w:spacing w:before="60" w:after="60"/>
              <w:jc w:val="both"/>
              <w:rPr>
                <w:rFonts w:ascii="Arial" w:hAnsi="Arial" w:cs="Arial"/>
                <w:b/>
                <w:sz w:val="20"/>
                <w:szCs w:val="20"/>
              </w:rPr>
            </w:pPr>
            <w:r w:rsidRPr="009A6FBA">
              <w:rPr>
                <w:rFonts w:ascii="Arial" w:hAnsi="Arial" w:cs="Arial"/>
                <w:b/>
                <w:sz w:val="20"/>
                <w:szCs w:val="20"/>
              </w:rPr>
              <w:t>C</w:t>
            </w:r>
            <w:r w:rsidRPr="009A6FBA">
              <w:rPr>
                <w:rFonts w:ascii="Arial" w:hAnsi="Arial" w:cs="Arial"/>
                <w:b/>
                <w:sz w:val="20"/>
                <w:szCs w:val="20"/>
              </w:rPr>
              <w:t>ontext</w:t>
            </w:r>
          </w:p>
        </w:tc>
      </w:tr>
      <w:tr w:rsidTr="00203E25">
        <w:tblPrEx>
          <w:tblW w:w="10314" w:type="dxa"/>
          <w:tblLook w:val="01E0"/>
        </w:tblPrEx>
        <w:tc>
          <w:tcPr>
            <w:tcW w:w="10314" w:type="dxa"/>
            <w:tcBorders>
              <w:bottom w:val="single" w:sz="4" w:space="0" w:color="auto"/>
            </w:tcBorders>
            <w:shd w:val="clear" w:color="auto" w:fill="auto"/>
          </w:tcPr>
          <w:p w:rsidR="00F71507" w:rsidRPr="009A6FBA" w:rsidP="00EB6073">
            <w:pPr>
              <w:spacing w:before="60" w:after="60"/>
              <w:jc w:val="both"/>
              <w:rPr>
                <w:rFonts w:ascii="Arial" w:hAnsi="Arial" w:cs="Arial"/>
                <w:sz w:val="20"/>
                <w:szCs w:val="20"/>
              </w:rPr>
            </w:pPr>
            <w:r w:rsidRPr="009A6FBA">
              <w:rPr>
                <w:rFonts w:ascii="Arial" w:hAnsi="Arial" w:cs="Arial"/>
                <w:sz w:val="20"/>
                <w:szCs w:val="20"/>
              </w:rPr>
              <w:t>T</w:t>
            </w:r>
            <w:r w:rsidRPr="009A6FBA" w:rsidR="008B2D2D">
              <w:rPr>
                <w:rFonts w:ascii="Arial" w:hAnsi="Arial" w:cs="Arial"/>
                <w:sz w:val="20"/>
                <w:szCs w:val="20"/>
              </w:rPr>
              <w:t>he European Green Deal</w:t>
            </w:r>
            <w:r>
              <w:rPr>
                <w:rStyle w:val="FootnoteReference"/>
                <w:rFonts w:ascii="Arial" w:hAnsi="Arial" w:cs="Arial"/>
                <w:sz w:val="20"/>
                <w:szCs w:val="20"/>
              </w:rPr>
              <w:footnoteReference w:id="2"/>
            </w:r>
            <w:r w:rsidRPr="009A6FBA" w:rsidR="008B2D2D">
              <w:rPr>
                <w:rFonts w:ascii="Arial" w:hAnsi="Arial" w:cs="Arial"/>
                <w:sz w:val="20"/>
                <w:szCs w:val="20"/>
              </w:rPr>
              <w:t xml:space="preserve"> </w:t>
            </w:r>
            <w:r w:rsidRPr="009A6FBA">
              <w:rPr>
                <w:rFonts w:ascii="Arial" w:hAnsi="Arial" w:cs="Arial"/>
                <w:sz w:val="20"/>
                <w:szCs w:val="20"/>
              </w:rPr>
              <w:t>set</w:t>
            </w:r>
            <w:r w:rsidRPr="009A6FBA" w:rsidR="000272D4">
              <w:rPr>
                <w:rFonts w:ascii="Arial" w:hAnsi="Arial" w:cs="Arial"/>
                <w:sz w:val="20"/>
                <w:szCs w:val="20"/>
              </w:rPr>
              <w:t>s</w:t>
            </w:r>
            <w:r w:rsidRPr="009A6FBA">
              <w:rPr>
                <w:rFonts w:ascii="Arial" w:hAnsi="Arial" w:cs="Arial"/>
                <w:sz w:val="20"/>
                <w:szCs w:val="20"/>
              </w:rPr>
              <w:t xml:space="preserve"> out Europe’s intention </w:t>
            </w:r>
            <w:r w:rsidRPr="009A6FBA" w:rsidR="008B2D2D">
              <w:rPr>
                <w:rFonts w:ascii="Arial" w:hAnsi="Arial" w:cs="Arial"/>
                <w:sz w:val="20"/>
                <w:szCs w:val="20"/>
              </w:rPr>
              <w:t xml:space="preserve">to </w:t>
            </w:r>
            <w:r w:rsidRPr="009A6FBA">
              <w:rPr>
                <w:rFonts w:ascii="Arial" w:hAnsi="Arial" w:cs="Arial"/>
                <w:sz w:val="20"/>
                <w:szCs w:val="20"/>
              </w:rPr>
              <w:t>become</w:t>
            </w:r>
            <w:r w:rsidRPr="009A6FBA" w:rsidR="008B2D2D">
              <w:rPr>
                <w:rFonts w:ascii="Arial" w:hAnsi="Arial" w:cs="Arial"/>
                <w:sz w:val="20"/>
                <w:szCs w:val="20"/>
              </w:rPr>
              <w:t xml:space="preserve"> a world leader in the circular economy</w:t>
            </w:r>
            <w:r w:rsidRPr="009A6FBA" w:rsidR="00FB5ECA">
              <w:rPr>
                <w:rFonts w:ascii="Arial" w:hAnsi="Arial" w:cs="Arial"/>
                <w:sz w:val="20"/>
                <w:szCs w:val="20"/>
              </w:rPr>
              <w:t xml:space="preserve"> and make Europe a climate neutral continent by 2050</w:t>
            </w:r>
            <w:r w:rsidRPr="009A6FBA" w:rsidR="00F31F74">
              <w:rPr>
                <w:rFonts w:ascii="Arial" w:hAnsi="Arial" w:cs="Arial"/>
                <w:sz w:val="20"/>
                <w:szCs w:val="20"/>
              </w:rPr>
              <w:t xml:space="preserve">. </w:t>
            </w:r>
            <w:r w:rsidRPr="009A6FBA">
              <w:rPr>
                <w:rFonts w:ascii="Arial" w:hAnsi="Arial" w:cs="Arial"/>
                <w:sz w:val="20"/>
                <w:szCs w:val="20"/>
              </w:rPr>
              <w:t xml:space="preserve">As part of this, it </w:t>
            </w:r>
            <w:r w:rsidRPr="009A6FBA" w:rsidR="000272D4">
              <w:rPr>
                <w:rFonts w:ascii="Arial" w:hAnsi="Arial" w:cs="Arial"/>
                <w:sz w:val="20"/>
                <w:szCs w:val="20"/>
              </w:rPr>
              <w:t>identifies</w:t>
            </w:r>
            <w:r w:rsidRPr="009A6FBA" w:rsidR="004A6077">
              <w:rPr>
                <w:rFonts w:ascii="Arial" w:hAnsi="Arial" w:cs="Arial"/>
                <w:sz w:val="20"/>
                <w:szCs w:val="20"/>
              </w:rPr>
              <w:t xml:space="preserve"> the need </w:t>
            </w:r>
            <w:r w:rsidRPr="009A6FBA" w:rsidR="000272D4">
              <w:rPr>
                <w:rFonts w:ascii="Arial" w:hAnsi="Arial" w:cs="Arial"/>
                <w:sz w:val="20"/>
                <w:szCs w:val="20"/>
              </w:rPr>
              <w:t xml:space="preserve">that </w:t>
            </w:r>
            <w:r w:rsidRPr="009A6FBA" w:rsidR="00B8517D">
              <w:rPr>
                <w:rFonts w:ascii="Arial" w:hAnsi="Arial" w:cs="Arial"/>
                <w:sz w:val="20"/>
                <w:szCs w:val="20"/>
              </w:rPr>
              <w:t xml:space="preserve">companies making green </w:t>
            </w:r>
            <w:r w:rsidRPr="009A6FBA" w:rsidR="00104A1F">
              <w:rPr>
                <w:rFonts w:ascii="Arial" w:hAnsi="Arial" w:cs="Arial"/>
                <w:sz w:val="20"/>
                <w:szCs w:val="20"/>
              </w:rPr>
              <w:t>claims</w:t>
            </w:r>
            <w:r>
              <w:rPr>
                <w:rStyle w:val="FootnoteReference"/>
                <w:rFonts w:ascii="Arial" w:hAnsi="Arial" w:cs="Arial"/>
                <w:sz w:val="20"/>
                <w:szCs w:val="20"/>
              </w:rPr>
              <w:footnoteReference w:id="3"/>
            </w:r>
            <w:r w:rsidRPr="009A6FBA" w:rsidR="00104A1F">
              <w:rPr>
                <w:rFonts w:ascii="Arial" w:hAnsi="Arial" w:cs="Arial"/>
                <w:sz w:val="20"/>
                <w:szCs w:val="20"/>
              </w:rPr>
              <w:t xml:space="preserve"> </w:t>
            </w:r>
            <w:r w:rsidRPr="009A6FBA" w:rsidR="004A6077">
              <w:rPr>
                <w:rFonts w:ascii="Arial" w:hAnsi="Arial" w:cs="Arial"/>
                <w:sz w:val="20"/>
                <w:szCs w:val="20"/>
              </w:rPr>
              <w:t xml:space="preserve">assess </w:t>
            </w:r>
            <w:r w:rsidRPr="009A6FBA" w:rsidR="00B8517D">
              <w:rPr>
                <w:rFonts w:ascii="Arial" w:hAnsi="Arial" w:cs="Arial"/>
                <w:sz w:val="20"/>
                <w:szCs w:val="20"/>
              </w:rPr>
              <w:t xml:space="preserve">their </w:t>
            </w:r>
            <w:r w:rsidRPr="009A6FBA" w:rsidR="004A6077">
              <w:rPr>
                <w:rFonts w:ascii="Arial" w:hAnsi="Arial" w:cs="Arial"/>
                <w:sz w:val="20"/>
                <w:szCs w:val="20"/>
              </w:rPr>
              <w:t xml:space="preserve">impacts on </w:t>
            </w:r>
            <w:r w:rsidRPr="009A6FBA" w:rsidR="00B8517D">
              <w:rPr>
                <w:rFonts w:ascii="Arial" w:hAnsi="Arial" w:cs="Arial"/>
                <w:sz w:val="20"/>
                <w:szCs w:val="20"/>
              </w:rPr>
              <w:t xml:space="preserve">the </w:t>
            </w:r>
            <w:r w:rsidRPr="009A6FBA" w:rsidR="004A6077">
              <w:rPr>
                <w:rFonts w:ascii="Arial" w:hAnsi="Arial" w:cs="Arial"/>
                <w:sz w:val="20"/>
                <w:szCs w:val="20"/>
              </w:rPr>
              <w:t>environment</w:t>
            </w:r>
            <w:r w:rsidRPr="009A6FBA" w:rsidR="000272D4">
              <w:rPr>
                <w:rFonts w:ascii="Arial" w:hAnsi="Arial" w:cs="Arial"/>
                <w:sz w:val="20"/>
                <w:szCs w:val="20"/>
              </w:rPr>
              <w:t xml:space="preserve"> using a standard methodology</w:t>
            </w:r>
            <w:r w:rsidRPr="009A6FBA" w:rsidR="004A6077">
              <w:rPr>
                <w:rFonts w:ascii="Arial" w:hAnsi="Arial" w:cs="Arial"/>
                <w:sz w:val="20"/>
                <w:szCs w:val="20"/>
              </w:rPr>
              <w:t xml:space="preserve">. </w:t>
            </w:r>
            <w:r w:rsidRPr="009A6FBA" w:rsidR="00EB6073">
              <w:rPr>
                <w:rFonts w:ascii="Arial" w:hAnsi="Arial" w:cs="Arial"/>
                <w:sz w:val="20"/>
                <w:szCs w:val="20"/>
              </w:rPr>
              <w:t>The new Circular Economy Action Plan</w:t>
            </w:r>
            <w:r>
              <w:rPr>
                <w:rStyle w:val="FootnoteReference"/>
                <w:rFonts w:ascii="Arial" w:hAnsi="Arial" w:cs="Arial"/>
                <w:sz w:val="20"/>
                <w:szCs w:val="20"/>
              </w:rPr>
              <w:footnoteReference w:id="4"/>
            </w:r>
            <w:r w:rsidRPr="009A6FBA" w:rsidR="00EB6073">
              <w:rPr>
                <w:rFonts w:ascii="Arial" w:hAnsi="Arial" w:cs="Arial"/>
                <w:sz w:val="20"/>
                <w:szCs w:val="20"/>
              </w:rPr>
              <w:t xml:space="preserve"> announces </w:t>
            </w:r>
            <w:r w:rsidRPr="009A6FBA">
              <w:rPr>
                <w:rFonts w:ascii="Arial" w:hAnsi="Arial" w:cs="Arial"/>
                <w:sz w:val="20"/>
                <w:szCs w:val="20"/>
              </w:rPr>
              <w:t xml:space="preserve">several actions to establish a strong and coherent product policy framework and empower consumers, including </w:t>
            </w:r>
            <w:r w:rsidRPr="009A6FBA" w:rsidR="000272D4">
              <w:rPr>
                <w:rFonts w:ascii="Arial" w:hAnsi="Arial" w:cs="Arial"/>
                <w:sz w:val="20"/>
                <w:szCs w:val="20"/>
              </w:rPr>
              <w:t xml:space="preserve">an </w:t>
            </w:r>
            <w:r w:rsidRPr="009A6FBA">
              <w:rPr>
                <w:rFonts w:ascii="Arial" w:hAnsi="Arial" w:cs="Arial"/>
                <w:sz w:val="20"/>
                <w:szCs w:val="20"/>
              </w:rPr>
              <w:t xml:space="preserve">initiative on green claims. </w:t>
            </w:r>
            <w:r w:rsidRPr="009A6FBA" w:rsidR="00714429">
              <w:rPr>
                <w:rFonts w:ascii="Arial" w:hAnsi="Arial" w:cs="Arial"/>
                <w:sz w:val="20"/>
                <w:szCs w:val="20"/>
              </w:rPr>
              <w:t>The Farm to Fork Strategy, announces actions to empower consumers to make informed, healthy and sustainable food choices, including an action to examine ways to harmonise voluntary green claims for food</w:t>
            </w:r>
            <w:r>
              <w:rPr>
                <w:rStyle w:val="FootnoteReference"/>
                <w:rFonts w:ascii="Arial" w:hAnsi="Arial" w:cs="Arial"/>
                <w:sz w:val="20"/>
                <w:szCs w:val="20"/>
              </w:rPr>
              <w:footnoteReference w:id="5"/>
            </w:r>
            <w:r w:rsidRPr="009A6FBA" w:rsidR="00714429">
              <w:rPr>
                <w:rFonts w:ascii="Arial" w:hAnsi="Arial" w:cs="Arial"/>
                <w:sz w:val="20"/>
                <w:szCs w:val="20"/>
              </w:rPr>
              <w:t>.</w:t>
            </w:r>
          </w:p>
          <w:p w:rsidR="008B5348" w:rsidRPr="009A6FBA" w:rsidP="008B5348">
            <w:pPr>
              <w:jc w:val="both"/>
              <w:rPr>
                <w:rFonts w:ascii="Arial" w:hAnsi="Arial" w:cs="Arial"/>
                <w:sz w:val="20"/>
                <w:szCs w:val="20"/>
              </w:rPr>
            </w:pPr>
            <w:r w:rsidRPr="009A6FBA">
              <w:rPr>
                <w:rFonts w:ascii="Arial" w:hAnsi="Arial" w:cs="Arial"/>
                <w:sz w:val="20"/>
                <w:szCs w:val="20"/>
              </w:rPr>
              <w:t xml:space="preserve">Competition for green markets is </w:t>
            </w:r>
            <w:r w:rsidRPr="009A6FBA">
              <w:rPr>
                <w:rFonts w:ascii="Arial" w:hAnsi="Arial" w:cs="Arial"/>
                <w:sz w:val="20"/>
                <w:szCs w:val="20"/>
              </w:rPr>
              <w:t xml:space="preserve">growing. </w:t>
            </w:r>
            <w:r w:rsidRPr="009A6FBA">
              <w:rPr>
                <w:rFonts w:ascii="Arial" w:hAnsi="Arial" w:cs="Arial"/>
                <w:sz w:val="20"/>
                <w:szCs w:val="20"/>
              </w:rPr>
              <w:t xml:space="preserve">Provision of </w:t>
            </w:r>
            <w:r w:rsidR="00C7575F">
              <w:rPr>
                <w:rFonts w:ascii="Arial" w:hAnsi="Arial" w:cs="Arial"/>
                <w:sz w:val="20"/>
                <w:szCs w:val="20"/>
              </w:rPr>
              <w:t>reliable, comparable and verifiable</w:t>
            </w:r>
            <w:r w:rsidRPr="009A6FBA">
              <w:rPr>
                <w:rFonts w:ascii="Arial" w:hAnsi="Arial" w:cs="Arial"/>
                <w:sz w:val="20"/>
                <w:szCs w:val="20"/>
              </w:rPr>
              <w:t xml:space="preserve"> information on environmental impacts of different products, services and organisations is essential for making informed purchas</w:t>
            </w:r>
            <w:r w:rsidRPr="009A6FBA" w:rsidR="000272D4">
              <w:rPr>
                <w:rFonts w:ascii="Arial" w:hAnsi="Arial" w:cs="Arial"/>
                <w:sz w:val="20"/>
                <w:szCs w:val="20"/>
              </w:rPr>
              <w:t>es</w:t>
            </w:r>
            <w:r w:rsidRPr="009A6FBA">
              <w:rPr>
                <w:rFonts w:ascii="Arial" w:hAnsi="Arial" w:cs="Arial"/>
                <w:sz w:val="20"/>
                <w:szCs w:val="20"/>
              </w:rPr>
              <w:t xml:space="preserve"> and investment</w:t>
            </w:r>
            <w:r w:rsidRPr="009A6FBA" w:rsidR="000272D4">
              <w:rPr>
                <w:rFonts w:ascii="Arial" w:hAnsi="Arial" w:cs="Arial"/>
                <w:sz w:val="20"/>
                <w:szCs w:val="20"/>
              </w:rPr>
              <w:t>s</w:t>
            </w:r>
            <w:r w:rsidRPr="009A6FBA">
              <w:rPr>
                <w:rFonts w:ascii="Arial" w:hAnsi="Arial" w:cs="Arial"/>
                <w:sz w:val="20"/>
                <w:szCs w:val="20"/>
              </w:rPr>
              <w:t>.</w:t>
            </w:r>
            <w:r w:rsidRPr="009A6FBA">
              <w:rPr>
                <w:rFonts w:ascii="Arial" w:hAnsi="Arial" w:cs="Arial"/>
                <w:sz w:val="20"/>
                <w:szCs w:val="20"/>
              </w:rPr>
              <w:t xml:space="preserve"> Currently, </w:t>
            </w:r>
            <w:r w:rsidRPr="009A6FBA" w:rsidR="000272D4">
              <w:rPr>
                <w:rFonts w:ascii="Arial" w:hAnsi="Arial" w:cs="Arial"/>
                <w:sz w:val="20"/>
                <w:szCs w:val="20"/>
              </w:rPr>
              <w:t xml:space="preserve">there are no detailed positive rules on the substantiation of environmental claims. National competent authorities can only prohibit </w:t>
            </w:r>
            <w:r w:rsidRPr="009A6FBA">
              <w:rPr>
                <w:rFonts w:ascii="Arial" w:hAnsi="Arial" w:cs="Arial"/>
                <w:sz w:val="20"/>
                <w:szCs w:val="20"/>
              </w:rPr>
              <w:t xml:space="preserve">environmental claims that </w:t>
            </w:r>
            <w:r w:rsidRPr="009A6FBA" w:rsidR="000272D4">
              <w:rPr>
                <w:rFonts w:ascii="Arial" w:hAnsi="Arial" w:cs="Arial"/>
                <w:sz w:val="20"/>
                <w:szCs w:val="20"/>
              </w:rPr>
              <w:t xml:space="preserve">they find to be </w:t>
            </w:r>
            <w:r w:rsidRPr="009A6FBA">
              <w:rPr>
                <w:rFonts w:ascii="Arial" w:hAnsi="Arial" w:cs="Arial"/>
                <w:sz w:val="20"/>
                <w:szCs w:val="20"/>
              </w:rPr>
              <w:t>misleading</w:t>
            </w:r>
            <w:r w:rsidRPr="009A6FBA" w:rsidR="000272D4">
              <w:rPr>
                <w:rFonts w:ascii="Arial" w:hAnsi="Arial" w:cs="Arial"/>
                <w:sz w:val="20"/>
                <w:szCs w:val="20"/>
              </w:rPr>
              <w:t xml:space="preserve"> towards consumers on the basis of a case-by-case application of the existing EU consumer law, i.e</w:t>
            </w:r>
            <w:r w:rsidRPr="009A6FBA">
              <w:rPr>
                <w:rFonts w:ascii="Arial" w:hAnsi="Arial" w:cs="Arial"/>
                <w:sz w:val="20"/>
                <w:szCs w:val="20"/>
              </w:rPr>
              <w:t xml:space="preserve"> Directive 2005/29/EC on Unfair Commercial Practices (UCPD)</w:t>
            </w:r>
            <w:r>
              <w:rPr>
                <w:rStyle w:val="FootnoteReference"/>
                <w:rFonts w:ascii="Arial" w:hAnsi="Arial" w:cs="Arial"/>
                <w:sz w:val="20"/>
                <w:szCs w:val="20"/>
              </w:rPr>
              <w:footnoteReference w:id="6"/>
            </w:r>
            <w:r w:rsidRPr="009A6FBA">
              <w:rPr>
                <w:rFonts w:ascii="Arial" w:hAnsi="Arial" w:cs="Arial"/>
                <w:sz w:val="20"/>
                <w:szCs w:val="20"/>
              </w:rPr>
              <w:t>.</w:t>
            </w:r>
            <w:r w:rsidR="006736ED">
              <w:rPr>
                <w:rFonts w:ascii="Arial" w:hAnsi="Arial" w:cs="Arial"/>
                <w:sz w:val="20"/>
                <w:szCs w:val="20"/>
              </w:rPr>
              <w:t xml:space="preserve"> </w:t>
            </w:r>
            <w:r w:rsidRPr="009A6FBA">
              <w:rPr>
                <w:rFonts w:ascii="Arial" w:hAnsi="Arial" w:cs="Arial"/>
                <w:sz w:val="20"/>
                <w:szCs w:val="20"/>
              </w:rPr>
              <w:t xml:space="preserve">In order not to mislead, environmental claims should be presented in a clear, specific, unambiguous and accurate manner. </w:t>
            </w:r>
          </w:p>
          <w:p w:rsidR="00F71507" w:rsidRPr="009A6FBA" w:rsidP="00F71507">
            <w:pPr>
              <w:spacing w:before="60" w:after="60"/>
              <w:jc w:val="both"/>
              <w:rPr>
                <w:rFonts w:ascii="Arial" w:hAnsi="Arial" w:cs="Arial"/>
                <w:sz w:val="20"/>
                <w:szCs w:val="20"/>
              </w:rPr>
            </w:pPr>
            <w:r w:rsidRPr="009A6FBA">
              <w:rPr>
                <w:rFonts w:ascii="Arial" w:hAnsi="Arial" w:cs="Arial"/>
                <w:sz w:val="20"/>
                <w:szCs w:val="20"/>
              </w:rPr>
              <w:t>T</w:t>
            </w:r>
            <w:r w:rsidRPr="009A6FBA" w:rsidR="00EB6073">
              <w:rPr>
                <w:rFonts w:ascii="Arial" w:hAnsi="Arial" w:cs="Arial"/>
                <w:sz w:val="20"/>
                <w:szCs w:val="20"/>
              </w:rPr>
              <w:t xml:space="preserve">he Commission </w:t>
            </w:r>
            <w:r w:rsidRPr="009A6FBA">
              <w:rPr>
                <w:rFonts w:ascii="Arial" w:hAnsi="Arial" w:cs="Arial"/>
                <w:sz w:val="20"/>
                <w:szCs w:val="20"/>
              </w:rPr>
              <w:t xml:space="preserve">announced in the Circular Economy Action Plan that it would </w:t>
            </w:r>
            <w:r w:rsidRPr="009A6FBA" w:rsidR="00EB6073">
              <w:rPr>
                <w:rFonts w:ascii="Arial" w:hAnsi="Arial" w:cs="Arial"/>
                <w:sz w:val="20"/>
                <w:szCs w:val="20"/>
              </w:rPr>
              <w:t xml:space="preserve">propose that companies substantiate their environmental claims using </w:t>
            </w:r>
            <w:r w:rsidRPr="009A6FBA" w:rsidR="005D39F7">
              <w:rPr>
                <w:rFonts w:ascii="Arial" w:hAnsi="Arial" w:cs="Arial"/>
                <w:sz w:val="20"/>
                <w:szCs w:val="20"/>
              </w:rPr>
              <w:t xml:space="preserve">EU </w:t>
            </w:r>
            <w:r w:rsidRPr="009A6FBA" w:rsidR="00EB6073">
              <w:rPr>
                <w:rFonts w:ascii="Arial" w:hAnsi="Arial" w:cs="Arial"/>
                <w:sz w:val="20"/>
                <w:szCs w:val="20"/>
              </w:rPr>
              <w:t>Product and Organisation Environmental Footprint methods.</w:t>
            </w:r>
            <w:r w:rsidRPr="009A6FBA">
              <w:rPr>
                <w:rFonts w:ascii="Arial" w:hAnsi="Arial" w:cs="Arial"/>
                <w:sz w:val="20"/>
                <w:szCs w:val="20"/>
              </w:rPr>
              <w:t xml:space="preserve"> The</w:t>
            </w:r>
            <w:r w:rsidRPr="009A6FBA">
              <w:rPr>
                <w:rFonts w:ascii="Arial" w:hAnsi="Arial" w:cs="Arial"/>
                <w:sz w:val="20"/>
                <w:szCs w:val="20"/>
              </w:rPr>
              <w:t>se</w:t>
            </w:r>
            <w:r w:rsidRPr="009A6FBA">
              <w:rPr>
                <w:rFonts w:ascii="Arial" w:hAnsi="Arial" w:cs="Arial"/>
                <w:sz w:val="20"/>
                <w:szCs w:val="20"/>
              </w:rPr>
              <w:t xml:space="preserve"> methods</w:t>
            </w:r>
            <w:r>
              <w:rPr>
                <w:rStyle w:val="FootnoteReference"/>
                <w:rFonts w:ascii="Arial" w:hAnsi="Arial" w:cs="Arial"/>
                <w:sz w:val="20"/>
                <w:szCs w:val="20"/>
              </w:rPr>
              <w:footnoteReference w:id="7"/>
            </w:r>
            <w:r w:rsidRPr="009A6FBA">
              <w:rPr>
                <w:rFonts w:ascii="Arial" w:hAnsi="Arial" w:cs="Arial"/>
                <w:sz w:val="20"/>
                <w:szCs w:val="20"/>
              </w:rPr>
              <w:t xml:space="preserve"> measure the environmental performance of a product or organisation </w:t>
            </w:r>
            <w:r w:rsidRPr="009A6FBA" w:rsidR="00A21D1F">
              <w:rPr>
                <w:rFonts w:ascii="Arial" w:hAnsi="Arial" w:cs="Arial"/>
                <w:sz w:val="20"/>
                <w:szCs w:val="20"/>
              </w:rPr>
              <w:t xml:space="preserve">throughout the value chain, </w:t>
            </w:r>
            <w:r w:rsidRPr="009A6FBA">
              <w:rPr>
                <w:rFonts w:ascii="Arial" w:hAnsi="Arial" w:cs="Arial"/>
                <w:sz w:val="20"/>
                <w:szCs w:val="20"/>
              </w:rPr>
              <w:t>from the extraction of raw materials to the end of life</w:t>
            </w:r>
            <w:r w:rsidR="009A6FBA">
              <w:rPr>
                <w:rFonts w:ascii="Arial" w:hAnsi="Arial" w:cs="Arial"/>
                <w:sz w:val="20"/>
                <w:szCs w:val="20"/>
              </w:rPr>
              <w:t xml:space="preserve">, </w:t>
            </w:r>
            <w:r w:rsidRPr="009A6FBA" w:rsidR="008B5348">
              <w:rPr>
                <w:rFonts w:ascii="Arial" w:hAnsi="Arial" w:cs="Arial"/>
                <w:sz w:val="20"/>
                <w:szCs w:val="20"/>
              </w:rPr>
              <w:t>using</w:t>
            </w:r>
            <w:r w:rsidRPr="009A6FBA">
              <w:rPr>
                <w:rFonts w:ascii="Arial" w:hAnsi="Arial" w:cs="Arial"/>
                <w:sz w:val="20"/>
                <w:szCs w:val="20"/>
              </w:rPr>
              <w:t xml:space="preserve"> 16 </w:t>
            </w:r>
            <w:r w:rsidRPr="009A6FBA" w:rsidR="00A21D1F">
              <w:rPr>
                <w:rFonts w:ascii="Arial" w:hAnsi="Arial" w:cs="Arial"/>
                <w:sz w:val="20"/>
                <w:szCs w:val="20"/>
              </w:rPr>
              <w:t xml:space="preserve">environmental </w:t>
            </w:r>
            <w:r w:rsidRPr="009A6FBA">
              <w:rPr>
                <w:rFonts w:ascii="Arial" w:hAnsi="Arial" w:cs="Arial"/>
                <w:sz w:val="20"/>
                <w:szCs w:val="20"/>
              </w:rPr>
              <w:t xml:space="preserve">impact categories. </w:t>
            </w:r>
            <w:r w:rsidR="008D0A06">
              <w:rPr>
                <w:rFonts w:ascii="Arial" w:hAnsi="Arial" w:cs="Arial"/>
                <w:sz w:val="20"/>
                <w:szCs w:val="20"/>
              </w:rPr>
              <w:t>This initiative will be developed in close coordination with other initiatives (also announced in the CEAP): i/ the</w:t>
            </w:r>
            <w:r w:rsidRPr="009A6FBA">
              <w:rPr>
                <w:rFonts w:ascii="Arial" w:hAnsi="Arial" w:cs="Arial"/>
                <w:sz w:val="20"/>
                <w:szCs w:val="20"/>
              </w:rPr>
              <w:t xml:space="preserve"> revision of EU consumer law </w:t>
            </w:r>
            <w:r w:rsidR="008D0A06">
              <w:rPr>
                <w:rFonts w:ascii="Arial" w:hAnsi="Arial" w:cs="Arial"/>
                <w:sz w:val="20"/>
                <w:szCs w:val="20"/>
              </w:rPr>
              <w:t>to empower consumers for active participation in the green transition</w:t>
            </w:r>
            <w:r>
              <w:rPr>
                <w:rStyle w:val="FootnoteReference"/>
                <w:rFonts w:ascii="Arial" w:hAnsi="Arial" w:cs="Arial"/>
                <w:sz w:val="20"/>
                <w:szCs w:val="20"/>
              </w:rPr>
              <w:footnoteReference w:id="8"/>
            </w:r>
            <w:r w:rsidR="008D0A06">
              <w:rPr>
                <w:rFonts w:ascii="Arial" w:hAnsi="Arial" w:cs="Arial"/>
                <w:sz w:val="20"/>
                <w:szCs w:val="20"/>
              </w:rPr>
              <w:t xml:space="preserve">; and ii/ </w:t>
            </w:r>
            <w:r w:rsidRPr="009A6FBA" w:rsidR="006D4D2A">
              <w:rPr>
                <w:rFonts w:ascii="Arial" w:hAnsi="Arial" w:cs="Arial"/>
                <w:sz w:val="20"/>
                <w:szCs w:val="20"/>
              </w:rPr>
              <w:t>a sustainable product policy initiative</w:t>
            </w:r>
            <w:r w:rsidR="008D0A06">
              <w:rPr>
                <w:rFonts w:ascii="Arial" w:hAnsi="Arial" w:cs="Arial"/>
                <w:sz w:val="20"/>
                <w:szCs w:val="20"/>
              </w:rPr>
              <w:t xml:space="preserve">, </w:t>
            </w:r>
            <w:r w:rsidRPr="00332198" w:rsidR="008D0A06">
              <w:rPr>
                <w:rFonts w:ascii="Arial" w:hAnsi="Arial" w:cs="Arial"/>
                <w:sz w:val="20"/>
                <w:szCs w:val="20"/>
              </w:rPr>
              <w:t>which will focus on making products fit for a climate-neutral, resource-efficient and circular economy</w:t>
            </w:r>
            <w:r w:rsidRPr="008D0A06" w:rsidR="006D4D2A">
              <w:rPr>
                <w:rFonts w:ascii="Arial" w:hAnsi="Arial" w:cs="Arial"/>
                <w:sz w:val="20"/>
                <w:szCs w:val="20"/>
              </w:rPr>
              <w:t xml:space="preserve">. </w:t>
            </w:r>
            <w:r w:rsidRPr="00AF1FBF" w:rsidR="008D0A06">
              <w:rPr>
                <w:rFonts w:ascii="Arial" w:eastAsia="Calibri" w:hAnsi="Arial"/>
                <w:sz w:val="20"/>
              </w:rPr>
              <w:t xml:space="preserve">All these initiatives will seek </w:t>
            </w:r>
            <w:r w:rsidRPr="00AF1FBF" w:rsidR="008D0A06">
              <w:rPr>
                <w:rFonts w:ascii="Arial" w:hAnsi="Arial"/>
                <w:sz w:val="20"/>
              </w:rPr>
              <w:t xml:space="preserve">to establish </w:t>
            </w:r>
            <w:r w:rsidRPr="00AF1FBF" w:rsidR="008D0A06">
              <w:rPr>
                <w:rFonts w:ascii="Arial" w:hAnsi="Arial" w:cs="Arial"/>
                <w:sz w:val="20"/>
                <w:szCs w:val="20"/>
              </w:rPr>
              <w:t xml:space="preserve">jointly </w:t>
            </w:r>
            <w:r w:rsidRPr="00AF1FBF" w:rsidR="008D0A06">
              <w:rPr>
                <w:rFonts w:ascii="Arial" w:hAnsi="Arial"/>
                <w:sz w:val="20"/>
              </w:rPr>
              <w:t xml:space="preserve">a coherent policy framework </w:t>
            </w:r>
            <w:r w:rsidRPr="00AF1FBF" w:rsidR="008D0A06">
              <w:rPr>
                <w:rFonts w:ascii="Arial" w:hAnsi="Arial" w:cs="Arial"/>
                <w:sz w:val="20"/>
                <w:szCs w:val="20"/>
              </w:rPr>
              <w:t xml:space="preserve">to help the Union to make sustainable goods, services and business models the norm and to </w:t>
            </w:r>
            <w:r w:rsidRPr="00AF1FBF" w:rsidR="008D0A06">
              <w:rPr>
                <w:rFonts w:ascii="Arial" w:hAnsi="Arial"/>
                <w:sz w:val="20"/>
              </w:rPr>
              <w:t>transform consumption patterns</w:t>
            </w:r>
            <w:r w:rsidRPr="00AF1FBF" w:rsidR="008D0A06">
              <w:rPr>
                <w:rFonts w:ascii="Arial" w:hAnsi="Arial" w:cs="Arial"/>
                <w:sz w:val="20"/>
                <w:szCs w:val="20"/>
              </w:rPr>
              <w:t xml:space="preserve"> in a more </w:t>
            </w:r>
            <w:r w:rsidRPr="00AF1FBF" w:rsidR="008D0A06">
              <w:rPr>
                <w:rFonts w:ascii="Arial" w:hAnsi="Arial" w:cs="Arial"/>
                <w:sz w:val="20"/>
                <w:szCs w:val="20"/>
              </w:rPr>
              <w:t xml:space="preserve">sustainable direction. They aim to </w:t>
            </w:r>
            <w:r w:rsidRPr="00AF1FBF" w:rsidR="008D0A06">
              <w:rPr>
                <w:rFonts w:ascii="Arial" w:hAnsi="Arial"/>
                <w:sz w:val="20"/>
              </w:rPr>
              <w:t>reduc</w:t>
            </w:r>
            <w:r w:rsidRPr="00AF1FBF" w:rsidR="008D0A06">
              <w:rPr>
                <w:rFonts w:ascii="Arial" w:hAnsi="Arial" w:cs="Arial"/>
                <w:sz w:val="20"/>
                <w:szCs w:val="20"/>
              </w:rPr>
              <w:t>e significantly the environmental footprint of products consumed in the Union and contribute</w:t>
            </w:r>
            <w:r w:rsidRPr="00AF1FBF" w:rsidR="008D0A06">
              <w:rPr>
                <w:rFonts w:ascii="Arial" w:hAnsi="Arial"/>
                <w:sz w:val="20"/>
              </w:rPr>
              <w:t xml:space="preserve"> to the overall policy objective of EU climate neutrality by 2050</w:t>
            </w:r>
            <w:r w:rsidRPr="00AF1FBF" w:rsidR="008D0A06">
              <w:rPr>
                <w:rFonts w:ascii="Arial" w:eastAsia="Calibri" w:hAnsi="Arial" w:cs="Arial"/>
                <w:sz w:val="20"/>
                <w:szCs w:val="20"/>
                <w:lang w:eastAsia="en-US"/>
              </w:rPr>
              <w:t>.</w:t>
            </w:r>
            <w:r w:rsidRPr="009A6FBA" w:rsidR="006D4D2A">
              <w:rPr>
                <w:rFonts w:ascii="Arial" w:hAnsi="Arial" w:cs="Arial"/>
                <w:sz w:val="20"/>
                <w:szCs w:val="20"/>
              </w:rPr>
              <w:t xml:space="preserve"> </w:t>
            </w:r>
          </w:p>
          <w:p w:rsidR="00466320" w:rsidRPr="009A6FBA">
            <w:pPr>
              <w:spacing w:before="60" w:after="60"/>
              <w:jc w:val="both"/>
              <w:rPr>
                <w:rFonts w:ascii="Arial" w:hAnsi="Arial" w:cs="Arial"/>
                <w:color w:val="00B050"/>
                <w:sz w:val="20"/>
                <w:szCs w:val="20"/>
              </w:rPr>
            </w:pPr>
          </w:p>
        </w:tc>
      </w:tr>
      <w:tr w:rsidTr="00203E25">
        <w:tblPrEx>
          <w:tblW w:w="10314" w:type="dxa"/>
          <w:tblLook w:val="01E0"/>
        </w:tblPrEx>
        <w:tc>
          <w:tcPr>
            <w:tcW w:w="10314" w:type="dxa"/>
            <w:tcBorders>
              <w:bottom w:val="single" w:sz="4" w:space="0" w:color="auto"/>
            </w:tcBorders>
            <w:shd w:val="clear" w:color="auto" w:fill="E6E6E6"/>
          </w:tcPr>
          <w:p w:rsidR="0071651E" w:rsidRPr="009A6FBA">
            <w:pPr>
              <w:spacing w:before="60" w:after="60"/>
              <w:jc w:val="both"/>
              <w:rPr>
                <w:rFonts w:ascii="Arial" w:hAnsi="Arial" w:cs="Arial"/>
                <w:b/>
                <w:sz w:val="20"/>
                <w:szCs w:val="20"/>
              </w:rPr>
            </w:pPr>
            <w:r w:rsidRPr="009A6FBA">
              <w:rPr>
                <w:rFonts w:ascii="Arial" w:hAnsi="Arial" w:cs="Arial"/>
                <w:b/>
                <w:sz w:val="20"/>
                <w:szCs w:val="20"/>
              </w:rPr>
              <w:t>Problem the initiative aims to tackle</w:t>
            </w:r>
          </w:p>
        </w:tc>
      </w:tr>
      <w:tr w:rsidTr="00203E25">
        <w:tblPrEx>
          <w:tblW w:w="10314" w:type="dxa"/>
          <w:tblLook w:val="01E0"/>
        </w:tblPrEx>
        <w:tc>
          <w:tcPr>
            <w:tcW w:w="10314" w:type="dxa"/>
            <w:tcBorders>
              <w:bottom w:val="single" w:sz="4" w:space="0" w:color="auto"/>
            </w:tcBorders>
            <w:shd w:val="clear" w:color="auto" w:fill="auto"/>
          </w:tcPr>
          <w:p w:rsidR="00E23405" w:rsidRPr="009A6FBA" w:rsidP="00132C23">
            <w:pPr>
              <w:spacing w:before="60" w:after="60"/>
              <w:jc w:val="both"/>
              <w:rPr>
                <w:rFonts w:ascii="Arial" w:hAnsi="Arial" w:cs="Arial"/>
                <w:sz w:val="20"/>
                <w:szCs w:val="20"/>
              </w:rPr>
            </w:pPr>
            <w:r w:rsidRPr="009A6FBA">
              <w:rPr>
                <w:rFonts w:ascii="Arial" w:hAnsi="Arial" w:cs="Arial"/>
                <w:sz w:val="20"/>
                <w:szCs w:val="20"/>
              </w:rPr>
              <w:t xml:space="preserve">Consumers </w:t>
            </w:r>
            <w:r w:rsidRPr="009A6FBA" w:rsidR="0053631F">
              <w:rPr>
                <w:rFonts w:ascii="Arial" w:hAnsi="Arial" w:cs="Arial"/>
                <w:sz w:val="20"/>
                <w:szCs w:val="20"/>
              </w:rPr>
              <w:t xml:space="preserve">and businesses </w:t>
            </w:r>
            <w:r w:rsidRPr="009A6FBA">
              <w:rPr>
                <w:rFonts w:ascii="Arial" w:hAnsi="Arial" w:cs="Arial"/>
                <w:sz w:val="20"/>
                <w:szCs w:val="20"/>
              </w:rPr>
              <w:t xml:space="preserve">need reliable, comparable and verifiable information to make sustainable decisions. </w:t>
            </w:r>
            <w:r w:rsidRPr="009A6FBA" w:rsidR="00EB6073">
              <w:rPr>
                <w:rFonts w:ascii="Arial" w:hAnsi="Arial" w:cs="Arial"/>
                <w:sz w:val="20"/>
                <w:szCs w:val="20"/>
              </w:rPr>
              <w:t>T</w:t>
            </w:r>
            <w:r w:rsidRPr="009A6FBA">
              <w:rPr>
                <w:rFonts w:ascii="Arial" w:hAnsi="Arial" w:cs="Arial"/>
                <w:sz w:val="20"/>
                <w:szCs w:val="20"/>
              </w:rPr>
              <w:t xml:space="preserve">here is a </w:t>
            </w:r>
            <w:r w:rsidRPr="009A6FBA" w:rsidR="00883C3A">
              <w:rPr>
                <w:rFonts w:ascii="Arial" w:hAnsi="Arial" w:cs="Arial"/>
                <w:b/>
                <w:sz w:val="20"/>
                <w:szCs w:val="20"/>
              </w:rPr>
              <w:t xml:space="preserve">proliferation of methods </w:t>
            </w:r>
            <w:r w:rsidRPr="009A6FBA" w:rsidR="00A1178A">
              <w:rPr>
                <w:rFonts w:ascii="Arial" w:hAnsi="Arial" w:cs="Arial"/>
                <w:b/>
                <w:sz w:val="20"/>
                <w:szCs w:val="20"/>
              </w:rPr>
              <w:t xml:space="preserve">to measure </w:t>
            </w:r>
            <w:r w:rsidRPr="009A6FBA" w:rsidR="00EB6073">
              <w:rPr>
                <w:rFonts w:ascii="Arial" w:hAnsi="Arial" w:cs="Arial"/>
                <w:b/>
                <w:sz w:val="20"/>
                <w:szCs w:val="20"/>
              </w:rPr>
              <w:t xml:space="preserve">and assess </w:t>
            </w:r>
            <w:r w:rsidRPr="009A6FBA" w:rsidR="00A1178A">
              <w:rPr>
                <w:rFonts w:ascii="Arial" w:hAnsi="Arial" w:cs="Arial"/>
                <w:b/>
                <w:sz w:val="20"/>
                <w:szCs w:val="20"/>
              </w:rPr>
              <w:t xml:space="preserve">environmental impacts </w:t>
            </w:r>
            <w:r w:rsidRPr="009A6FBA" w:rsidR="00883C3A">
              <w:rPr>
                <w:rFonts w:ascii="Arial" w:hAnsi="Arial" w:cs="Arial"/>
                <w:b/>
                <w:sz w:val="20"/>
                <w:szCs w:val="20"/>
              </w:rPr>
              <w:t xml:space="preserve">and </w:t>
            </w:r>
            <w:r w:rsidRPr="009A6FBA">
              <w:rPr>
                <w:rFonts w:ascii="Arial" w:hAnsi="Arial" w:cs="Arial"/>
                <w:b/>
                <w:sz w:val="20"/>
                <w:szCs w:val="20"/>
              </w:rPr>
              <w:t xml:space="preserve">a </w:t>
            </w:r>
            <w:r w:rsidRPr="009A6FBA" w:rsidR="00A1178A">
              <w:rPr>
                <w:rFonts w:ascii="Arial" w:hAnsi="Arial" w:cs="Arial"/>
                <w:b/>
                <w:sz w:val="20"/>
                <w:szCs w:val="20"/>
              </w:rPr>
              <w:t xml:space="preserve">proliferation of </w:t>
            </w:r>
            <w:r w:rsidRPr="009A6FBA" w:rsidR="00883C3A">
              <w:rPr>
                <w:rFonts w:ascii="Arial" w:hAnsi="Arial" w:cs="Arial"/>
                <w:b/>
                <w:sz w:val="20"/>
                <w:szCs w:val="20"/>
              </w:rPr>
              <w:t>labels</w:t>
            </w:r>
            <w:r w:rsidRPr="009A6FBA" w:rsidR="00A1178A">
              <w:rPr>
                <w:rFonts w:ascii="Arial" w:hAnsi="Arial" w:cs="Arial"/>
                <w:b/>
                <w:sz w:val="20"/>
                <w:szCs w:val="20"/>
              </w:rPr>
              <w:t xml:space="preserve"> and claims</w:t>
            </w:r>
            <w:r w:rsidRPr="009A6FBA" w:rsidR="00883C3A">
              <w:rPr>
                <w:rFonts w:ascii="Arial" w:hAnsi="Arial" w:cs="Arial"/>
                <w:b/>
                <w:sz w:val="20"/>
                <w:szCs w:val="20"/>
              </w:rPr>
              <w:t xml:space="preserve"> related to environmental information</w:t>
            </w:r>
            <w:r w:rsidRPr="009A6FBA" w:rsidR="001468DF">
              <w:rPr>
                <w:rFonts w:ascii="Arial" w:hAnsi="Arial" w:cs="Arial"/>
                <w:b/>
                <w:sz w:val="20"/>
                <w:szCs w:val="20"/>
              </w:rPr>
              <w:t>, which goes hand in hand with a proliferation of misleading environmental</w:t>
            </w:r>
            <w:r w:rsidRPr="009A6FBA" w:rsidR="005D39F7">
              <w:rPr>
                <w:rFonts w:ascii="Arial" w:hAnsi="Arial" w:cs="Arial"/>
                <w:b/>
                <w:sz w:val="20"/>
                <w:szCs w:val="20"/>
              </w:rPr>
              <w:t>, including climate-related,</w:t>
            </w:r>
            <w:r w:rsidRPr="009A6FBA" w:rsidR="001468DF">
              <w:rPr>
                <w:rFonts w:ascii="Arial" w:hAnsi="Arial" w:cs="Arial"/>
                <w:b/>
                <w:sz w:val="20"/>
                <w:szCs w:val="20"/>
              </w:rPr>
              <w:t xml:space="preserve"> claims</w:t>
            </w:r>
            <w:r w:rsidRPr="009A6FBA" w:rsidR="00530831">
              <w:rPr>
                <w:rFonts w:ascii="Arial" w:hAnsi="Arial" w:cs="Arial"/>
                <w:sz w:val="20"/>
                <w:szCs w:val="20"/>
              </w:rPr>
              <w:t xml:space="preserve">. There are </w:t>
            </w:r>
            <w:r w:rsidRPr="009A6FBA" w:rsidR="000E5F3A">
              <w:rPr>
                <w:rFonts w:ascii="Arial" w:hAnsi="Arial" w:cs="Arial"/>
                <w:sz w:val="20"/>
                <w:szCs w:val="20"/>
              </w:rPr>
              <w:t>currently 45</w:t>
            </w:r>
            <w:r w:rsidRPr="009A6FBA" w:rsidR="00B441E2">
              <w:rPr>
                <w:rFonts w:ascii="Arial" w:hAnsi="Arial" w:cs="Arial"/>
                <w:sz w:val="20"/>
                <w:szCs w:val="20"/>
              </w:rPr>
              <w:t>7</w:t>
            </w:r>
            <w:r w:rsidRPr="009A6FBA" w:rsidR="00883C3A">
              <w:rPr>
                <w:rFonts w:ascii="Arial" w:hAnsi="Arial" w:cs="Arial"/>
                <w:sz w:val="20"/>
                <w:szCs w:val="20"/>
              </w:rPr>
              <w:t xml:space="preserve"> </w:t>
            </w:r>
            <w:r w:rsidRPr="009A6FBA" w:rsidR="00F50172">
              <w:rPr>
                <w:rFonts w:ascii="Arial" w:hAnsi="Arial" w:cs="Arial"/>
                <w:sz w:val="20"/>
                <w:szCs w:val="20"/>
              </w:rPr>
              <w:t xml:space="preserve">voluntary </w:t>
            </w:r>
            <w:r w:rsidRPr="009A6FBA" w:rsidR="00883C3A">
              <w:rPr>
                <w:rFonts w:ascii="Arial" w:hAnsi="Arial" w:cs="Arial"/>
                <w:sz w:val="20"/>
                <w:szCs w:val="20"/>
              </w:rPr>
              <w:t>environmental labels worldwide</w:t>
            </w:r>
            <w:r>
              <w:rPr>
                <w:rStyle w:val="FootnoteReference"/>
                <w:rFonts w:ascii="Arial" w:hAnsi="Arial" w:cs="Arial"/>
                <w:sz w:val="20"/>
                <w:szCs w:val="20"/>
              </w:rPr>
              <w:footnoteReference w:id="9"/>
            </w:r>
            <w:r w:rsidRPr="009A6FBA" w:rsidR="00EB6073">
              <w:rPr>
                <w:rFonts w:ascii="Arial" w:hAnsi="Arial" w:cs="Arial"/>
              </w:rPr>
              <w:t xml:space="preserve"> </w:t>
            </w:r>
            <w:r w:rsidRPr="009A6FBA" w:rsidR="00EB6073">
              <w:rPr>
                <w:rFonts w:ascii="Arial" w:hAnsi="Arial" w:cs="Arial"/>
                <w:sz w:val="20"/>
                <w:szCs w:val="20"/>
              </w:rPr>
              <w:t xml:space="preserve">and even </w:t>
            </w:r>
            <w:r w:rsidRPr="009A6FBA" w:rsidR="00430F44">
              <w:rPr>
                <w:rFonts w:ascii="Arial" w:hAnsi="Arial" w:cs="Arial"/>
                <w:sz w:val="20"/>
                <w:szCs w:val="20"/>
              </w:rPr>
              <w:t xml:space="preserve">more </w:t>
            </w:r>
            <w:r w:rsidRPr="009A6FBA" w:rsidR="00EB6073">
              <w:rPr>
                <w:rFonts w:ascii="Arial" w:hAnsi="Arial" w:cs="Arial"/>
                <w:sz w:val="20"/>
                <w:szCs w:val="20"/>
              </w:rPr>
              <w:t>environmental claims</w:t>
            </w:r>
            <w:r w:rsidRPr="009A6FBA" w:rsidR="00904468">
              <w:rPr>
                <w:rFonts w:ascii="Arial" w:hAnsi="Arial" w:cs="Arial"/>
                <w:sz w:val="20"/>
                <w:szCs w:val="20"/>
              </w:rPr>
              <w:t>,</w:t>
            </w:r>
            <w:r w:rsidRPr="009A6FBA" w:rsidR="00EB6073">
              <w:rPr>
                <w:rFonts w:ascii="Arial" w:hAnsi="Arial" w:cs="Arial"/>
                <w:sz w:val="20"/>
                <w:szCs w:val="20"/>
              </w:rPr>
              <w:t xml:space="preserve"> which are </w:t>
            </w:r>
            <w:r w:rsidRPr="009A6FBA" w:rsidR="005D39F7">
              <w:rPr>
                <w:rFonts w:ascii="Arial" w:hAnsi="Arial" w:cs="Arial"/>
                <w:sz w:val="20"/>
                <w:szCs w:val="20"/>
              </w:rPr>
              <w:t xml:space="preserve">often poorly defined, explained and understood, and </w:t>
            </w:r>
            <w:r w:rsidRPr="009A6FBA" w:rsidR="00EB6073">
              <w:rPr>
                <w:rFonts w:ascii="Arial" w:hAnsi="Arial" w:cs="Arial"/>
                <w:sz w:val="20"/>
                <w:szCs w:val="20"/>
              </w:rPr>
              <w:t xml:space="preserve">underpinned by </w:t>
            </w:r>
            <w:r w:rsidRPr="009A6FBA" w:rsidR="00587637">
              <w:rPr>
                <w:rFonts w:ascii="Arial" w:hAnsi="Arial" w:cs="Arial"/>
                <w:sz w:val="20"/>
                <w:szCs w:val="20"/>
              </w:rPr>
              <w:t xml:space="preserve">non-comparable </w:t>
            </w:r>
            <w:r w:rsidRPr="009A6FBA" w:rsidR="00EB6073">
              <w:rPr>
                <w:rFonts w:ascii="Arial" w:hAnsi="Arial" w:cs="Arial"/>
                <w:sz w:val="20"/>
                <w:szCs w:val="20"/>
              </w:rPr>
              <w:t>methods to measure and assess environmental impacts</w:t>
            </w:r>
            <w:r w:rsidRPr="009A6FBA" w:rsidR="00530831">
              <w:rPr>
                <w:rFonts w:ascii="Arial" w:hAnsi="Arial" w:cs="Arial"/>
                <w:sz w:val="20"/>
                <w:szCs w:val="20"/>
              </w:rPr>
              <w:t>.</w:t>
            </w:r>
            <w:r w:rsidRPr="009A6FBA" w:rsidR="00543781">
              <w:rPr>
                <w:rFonts w:ascii="Arial" w:hAnsi="Arial" w:cs="Arial"/>
                <w:sz w:val="20"/>
                <w:szCs w:val="20"/>
              </w:rPr>
              <w:t xml:space="preserve"> In the EU, over 100 labels are active</w:t>
            </w:r>
            <w:r>
              <w:rPr>
                <w:rStyle w:val="FootnoteReference"/>
                <w:rFonts w:ascii="Arial" w:hAnsi="Arial" w:cs="Arial"/>
                <w:sz w:val="20"/>
                <w:szCs w:val="20"/>
              </w:rPr>
              <w:footnoteReference w:id="10"/>
            </w:r>
            <w:r w:rsidRPr="009A6FBA" w:rsidR="00543781">
              <w:rPr>
                <w:rFonts w:ascii="Arial" w:hAnsi="Arial" w:cs="Arial"/>
                <w:sz w:val="20"/>
                <w:szCs w:val="20"/>
              </w:rPr>
              <w:t xml:space="preserve">. </w:t>
            </w:r>
            <w:r w:rsidRPr="009A6FBA" w:rsidR="00EE0621">
              <w:rPr>
                <w:rFonts w:ascii="Arial" w:hAnsi="Arial" w:cs="Arial"/>
                <w:sz w:val="20"/>
                <w:szCs w:val="20"/>
              </w:rPr>
              <w:t>Th</w:t>
            </w:r>
            <w:r w:rsidRPr="009A6FBA" w:rsidR="00535F2D">
              <w:rPr>
                <w:rFonts w:ascii="Arial" w:hAnsi="Arial" w:cs="Arial"/>
                <w:sz w:val="20"/>
                <w:szCs w:val="20"/>
              </w:rPr>
              <w:t>is</w:t>
            </w:r>
            <w:r w:rsidRPr="009A6FBA" w:rsidR="00EE0621">
              <w:rPr>
                <w:rFonts w:ascii="Arial" w:hAnsi="Arial" w:cs="Arial"/>
                <w:sz w:val="20"/>
                <w:szCs w:val="20"/>
              </w:rPr>
              <w:t xml:space="preserve"> </w:t>
            </w:r>
            <w:r w:rsidRPr="009A6FBA" w:rsidR="00A1178A">
              <w:rPr>
                <w:rFonts w:ascii="Arial" w:hAnsi="Arial" w:cs="Arial"/>
                <w:sz w:val="20"/>
                <w:szCs w:val="20"/>
              </w:rPr>
              <w:t xml:space="preserve">multiplication </w:t>
            </w:r>
            <w:r w:rsidRPr="009A6FBA" w:rsidR="00EE0621">
              <w:rPr>
                <w:rFonts w:ascii="Arial" w:hAnsi="Arial" w:cs="Arial"/>
                <w:sz w:val="20"/>
                <w:szCs w:val="20"/>
              </w:rPr>
              <w:t>of methods and labels</w:t>
            </w:r>
            <w:r w:rsidRPr="009A6FBA" w:rsidR="00A1178A">
              <w:rPr>
                <w:rFonts w:ascii="Arial" w:hAnsi="Arial" w:cs="Arial"/>
                <w:sz w:val="20"/>
                <w:szCs w:val="20"/>
              </w:rPr>
              <w:t>/claims</w:t>
            </w:r>
            <w:r w:rsidRPr="009A6FBA" w:rsidR="00EE0621">
              <w:rPr>
                <w:rFonts w:ascii="Arial" w:hAnsi="Arial" w:cs="Arial"/>
                <w:sz w:val="20"/>
                <w:szCs w:val="20"/>
              </w:rPr>
              <w:t xml:space="preserve"> makes it difficult for </w:t>
            </w:r>
            <w:r w:rsidRPr="009A6FBA" w:rsidR="002832FA">
              <w:rPr>
                <w:rFonts w:ascii="Arial" w:hAnsi="Arial" w:cs="Arial"/>
                <w:sz w:val="20"/>
                <w:szCs w:val="20"/>
              </w:rPr>
              <w:t xml:space="preserve">market </w:t>
            </w:r>
            <w:r w:rsidRPr="009A6FBA" w:rsidR="00430F44">
              <w:rPr>
                <w:rFonts w:ascii="Arial" w:hAnsi="Arial" w:cs="Arial"/>
                <w:sz w:val="20"/>
                <w:szCs w:val="20"/>
              </w:rPr>
              <w:t xml:space="preserve">actors </w:t>
            </w:r>
            <w:r w:rsidRPr="009A6FBA" w:rsidR="002832FA">
              <w:rPr>
                <w:rFonts w:ascii="Arial" w:hAnsi="Arial" w:cs="Arial"/>
                <w:sz w:val="20"/>
                <w:szCs w:val="20"/>
              </w:rPr>
              <w:t xml:space="preserve">(consumers, businesses, investors, public administrations) </w:t>
            </w:r>
            <w:r w:rsidRPr="009A6FBA" w:rsidR="00EE0621">
              <w:rPr>
                <w:rFonts w:ascii="Arial" w:hAnsi="Arial" w:cs="Arial"/>
                <w:sz w:val="20"/>
                <w:szCs w:val="20"/>
              </w:rPr>
              <w:t>to</w:t>
            </w:r>
            <w:r w:rsidRPr="009A6FBA" w:rsidR="002832FA">
              <w:rPr>
                <w:rFonts w:ascii="Arial" w:hAnsi="Arial" w:cs="Arial"/>
                <w:sz w:val="20"/>
                <w:szCs w:val="20"/>
              </w:rPr>
              <w:t xml:space="preserve"> identify </w:t>
            </w:r>
            <w:r w:rsidRPr="009A6FBA" w:rsidR="00CC40F4">
              <w:rPr>
                <w:rFonts w:ascii="Arial" w:hAnsi="Arial" w:cs="Arial"/>
                <w:sz w:val="20"/>
                <w:szCs w:val="20"/>
              </w:rPr>
              <w:t xml:space="preserve">and trust </w:t>
            </w:r>
            <w:r w:rsidRPr="009A6FBA" w:rsidR="002832FA">
              <w:rPr>
                <w:rFonts w:ascii="Arial" w:hAnsi="Arial" w:cs="Arial"/>
                <w:sz w:val="20"/>
                <w:szCs w:val="20"/>
              </w:rPr>
              <w:t xml:space="preserve">environmental claims. </w:t>
            </w:r>
          </w:p>
          <w:p w:rsidR="008D606B" w:rsidRPr="009A6FBA" w:rsidP="00390EF5">
            <w:pPr>
              <w:spacing w:before="60" w:after="240"/>
              <w:jc w:val="both"/>
              <w:rPr>
                <w:rFonts w:ascii="Arial" w:hAnsi="Arial" w:cs="Arial"/>
                <w:sz w:val="20"/>
                <w:szCs w:val="20"/>
              </w:rPr>
            </w:pPr>
            <w:r w:rsidRPr="009A6FBA">
              <w:rPr>
                <w:rFonts w:ascii="Arial" w:hAnsi="Arial" w:cs="Arial"/>
                <w:bCs/>
                <w:sz w:val="20"/>
                <w:szCs w:val="20"/>
              </w:rPr>
              <w:t>T</w:t>
            </w:r>
            <w:r w:rsidRPr="009A6FBA" w:rsidR="002832FA">
              <w:rPr>
                <w:rFonts w:ascii="Arial" w:hAnsi="Arial" w:cs="Arial"/>
                <w:b/>
                <w:sz w:val="20"/>
                <w:szCs w:val="20"/>
              </w:rPr>
              <w:t xml:space="preserve">he number of misleading claims remains </w:t>
            </w:r>
            <w:r w:rsidRPr="009A6FBA">
              <w:rPr>
                <w:rFonts w:ascii="Arial" w:hAnsi="Arial" w:cs="Arial"/>
                <w:b/>
                <w:sz w:val="20"/>
                <w:szCs w:val="20"/>
              </w:rPr>
              <w:t xml:space="preserve">also </w:t>
            </w:r>
            <w:r w:rsidRPr="009A6FBA" w:rsidR="002832FA">
              <w:rPr>
                <w:rFonts w:ascii="Arial" w:hAnsi="Arial" w:cs="Arial"/>
                <w:b/>
                <w:sz w:val="20"/>
                <w:szCs w:val="20"/>
              </w:rPr>
              <w:t>significant</w:t>
            </w:r>
            <w:r>
              <w:rPr>
                <w:rStyle w:val="FootnoteReference"/>
                <w:rFonts w:ascii="Arial" w:hAnsi="Arial" w:cs="Arial"/>
                <w:b/>
                <w:sz w:val="20"/>
                <w:szCs w:val="20"/>
              </w:rPr>
              <w:footnoteReference w:id="11"/>
            </w:r>
            <w:r w:rsidRPr="009A6FBA" w:rsidR="002832FA">
              <w:rPr>
                <w:rFonts w:ascii="Arial" w:hAnsi="Arial" w:cs="Arial"/>
                <w:sz w:val="20"/>
                <w:szCs w:val="20"/>
              </w:rPr>
              <w:t>. Three in ten citizens have come across exaggerated or misleading statements on the effect of products on the environment</w:t>
            </w:r>
            <w:r>
              <w:rPr>
                <w:rStyle w:val="FootnoteReference"/>
                <w:rFonts w:ascii="Arial" w:hAnsi="Arial" w:cs="Arial"/>
                <w:sz w:val="20"/>
                <w:szCs w:val="20"/>
              </w:rPr>
              <w:footnoteReference w:id="12"/>
            </w:r>
            <w:r w:rsidRPr="009A6FBA" w:rsidR="002832FA">
              <w:rPr>
                <w:rFonts w:ascii="Arial" w:hAnsi="Arial" w:cs="Arial"/>
                <w:sz w:val="20"/>
                <w:szCs w:val="20"/>
              </w:rPr>
              <w:t xml:space="preserve">. </w:t>
            </w:r>
            <w:r w:rsidRPr="009A6FBA" w:rsidR="00535F2D">
              <w:rPr>
                <w:rFonts w:ascii="Arial" w:hAnsi="Arial" w:cs="Arial"/>
                <w:sz w:val="20"/>
                <w:szCs w:val="20"/>
              </w:rPr>
              <w:t xml:space="preserve">This </w:t>
            </w:r>
            <w:r w:rsidRPr="009A6FBA" w:rsidR="008600B7">
              <w:rPr>
                <w:rFonts w:ascii="Arial" w:hAnsi="Arial" w:cs="Arial"/>
                <w:sz w:val="20"/>
                <w:szCs w:val="20"/>
              </w:rPr>
              <w:t>limit</w:t>
            </w:r>
            <w:r w:rsidRPr="009A6FBA" w:rsidR="00C73AC2">
              <w:rPr>
                <w:rFonts w:ascii="Arial" w:hAnsi="Arial" w:cs="Arial"/>
                <w:sz w:val="20"/>
                <w:szCs w:val="20"/>
              </w:rPr>
              <w:t>s the</w:t>
            </w:r>
            <w:r w:rsidRPr="009A6FBA" w:rsidR="008600B7">
              <w:rPr>
                <w:rFonts w:ascii="Arial" w:hAnsi="Arial" w:cs="Arial"/>
                <w:sz w:val="20"/>
                <w:szCs w:val="20"/>
              </w:rPr>
              <w:t xml:space="preserve"> uptake of </w:t>
            </w:r>
            <w:r w:rsidRPr="009A6FBA" w:rsidR="00CC40F4">
              <w:rPr>
                <w:rFonts w:ascii="Arial" w:hAnsi="Arial" w:cs="Arial"/>
                <w:sz w:val="20"/>
                <w:szCs w:val="20"/>
              </w:rPr>
              <w:t xml:space="preserve">truly </w:t>
            </w:r>
            <w:r w:rsidRPr="009A6FBA" w:rsidR="008600B7">
              <w:rPr>
                <w:rFonts w:ascii="Arial" w:hAnsi="Arial" w:cs="Arial"/>
                <w:sz w:val="20"/>
                <w:szCs w:val="20"/>
              </w:rPr>
              <w:t xml:space="preserve">green products </w:t>
            </w:r>
            <w:r w:rsidRPr="009A6FBA" w:rsidR="002326A6">
              <w:rPr>
                <w:rFonts w:ascii="Arial" w:hAnsi="Arial" w:cs="Arial"/>
                <w:sz w:val="20"/>
                <w:szCs w:val="20"/>
              </w:rPr>
              <w:t>and</w:t>
            </w:r>
            <w:r w:rsidRPr="009A6FBA" w:rsidR="00430F44">
              <w:rPr>
                <w:rFonts w:ascii="Arial" w:hAnsi="Arial" w:cs="Arial"/>
                <w:sz w:val="20"/>
                <w:szCs w:val="20"/>
              </w:rPr>
              <w:t>,</w:t>
            </w:r>
            <w:r w:rsidRPr="009A6FBA" w:rsidR="002326A6">
              <w:rPr>
                <w:rFonts w:ascii="Arial" w:hAnsi="Arial" w:cs="Arial"/>
                <w:sz w:val="20"/>
                <w:szCs w:val="20"/>
              </w:rPr>
              <w:t xml:space="preserve"> </w:t>
            </w:r>
            <w:r w:rsidRPr="009A6FBA" w:rsidR="00430F44">
              <w:rPr>
                <w:rFonts w:ascii="Arial" w:hAnsi="Arial" w:cs="Arial"/>
                <w:sz w:val="20"/>
                <w:szCs w:val="20"/>
              </w:rPr>
              <w:t>hence,</w:t>
            </w:r>
            <w:r w:rsidRPr="009A6FBA" w:rsidR="00535F2D">
              <w:rPr>
                <w:rFonts w:ascii="Arial" w:hAnsi="Arial" w:cs="Arial"/>
                <w:sz w:val="20"/>
                <w:szCs w:val="20"/>
              </w:rPr>
              <w:t xml:space="preserve"> </w:t>
            </w:r>
            <w:r w:rsidRPr="009A6FBA" w:rsidR="00C73AC2">
              <w:rPr>
                <w:rFonts w:ascii="Arial" w:hAnsi="Arial" w:cs="Arial"/>
                <w:sz w:val="20"/>
                <w:szCs w:val="20"/>
              </w:rPr>
              <w:t xml:space="preserve">leads to </w:t>
            </w:r>
            <w:r w:rsidRPr="009A6FBA" w:rsidR="002326A6">
              <w:rPr>
                <w:rFonts w:ascii="Arial" w:hAnsi="Arial" w:cs="Arial"/>
                <w:sz w:val="20"/>
                <w:szCs w:val="20"/>
              </w:rPr>
              <w:t xml:space="preserve">missed opportunities for </w:t>
            </w:r>
            <w:r w:rsidRPr="009A6FBA" w:rsidR="00535F2D">
              <w:rPr>
                <w:rFonts w:ascii="Arial" w:hAnsi="Arial" w:cs="Arial"/>
                <w:sz w:val="20"/>
                <w:szCs w:val="20"/>
              </w:rPr>
              <w:t xml:space="preserve">developing a circular </w:t>
            </w:r>
            <w:r w:rsidRPr="009A6FBA" w:rsidR="00EB6073">
              <w:rPr>
                <w:rFonts w:ascii="Arial" w:hAnsi="Arial" w:cs="Arial"/>
                <w:sz w:val="20"/>
                <w:szCs w:val="20"/>
              </w:rPr>
              <w:t xml:space="preserve">and green </w:t>
            </w:r>
            <w:r w:rsidRPr="009A6FBA" w:rsidR="00535F2D">
              <w:rPr>
                <w:rFonts w:ascii="Arial" w:hAnsi="Arial" w:cs="Arial"/>
                <w:sz w:val="20"/>
                <w:szCs w:val="20"/>
              </w:rPr>
              <w:t>economy</w:t>
            </w:r>
            <w:r w:rsidRPr="009A6FBA" w:rsidR="002326A6">
              <w:rPr>
                <w:rFonts w:ascii="Arial" w:hAnsi="Arial" w:cs="Arial"/>
                <w:sz w:val="20"/>
                <w:szCs w:val="20"/>
              </w:rPr>
              <w:t>.</w:t>
            </w:r>
            <w:r w:rsidRPr="009A6FBA" w:rsidR="00535F2D">
              <w:rPr>
                <w:rFonts w:ascii="Arial" w:hAnsi="Arial" w:cs="Arial"/>
                <w:sz w:val="20"/>
                <w:szCs w:val="20"/>
              </w:rPr>
              <w:t xml:space="preserve"> </w:t>
            </w:r>
          </w:p>
          <w:p w:rsidR="00390EF5" w:rsidRPr="009A6FBA" w:rsidP="00390EF5">
            <w:pPr>
              <w:spacing w:before="60" w:after="240"/>
              <w:jc w:val="both"/>
              <w:rPr>
                <w:rFonts w:ascii="Arial" w:hAnsi="Arial" w:cs="Arial"/>
                <w:sz w:val="20"/>
                <w:szCs w:val="20"/>
              </w:rPr>
            </w:pPr>
            <w:r w:rsidRPr="009A6FBA">
              <w:rPr>
                <w:rFonts w:ascii="Arial" w:hAnsi="Arial" w:cs="Arial"/>
                <w:sz w:val="20"/>
                <w:szCs w:val="20"/>
              </w:rPr>
              <w:t xml:space="preserve">The main </w:t>
            </w:r>
            <w:r w:rsidRPr="009A6FBA">
              <w:rPr>
                <w:rFonts w:ascii="Arial" w:hAnsi="Arial" w:cs="Arial"/>
                <w:sz w:val="20"/>
                <w:szCs w:val="20"/>
              </w:rPr>
              <w:t>drivers behind this problem are</w:t>
            </w:r>
            <w:r w:rsidRPr="009A6FBA" w:rsidR="008D606B">
              <w:rPr>
                <w:rFonts w:ascii="Arial" w:hAnsi="Arial" w:cs="Arial"/>
                <w:sz w:val="20"/>
                <w:szCs w:val="20"/>
              </w:rPr>
              <w:t xml:space="preserve"> the following</w:t>
            </w:r>
            <w:r w:rsidRPr="009A6FBA" w:rsidR="00C73AC2">
              <w:rPr>
                <w:rFonts w:ascii="Arial" w:hAnsi="Arial" w:cs="Arial"/>
                <w:sz w:val="20"/>
                <w:szCs w:val="20"/>
              </w:rPr>
              <w:t>:</w:t>
            </w:r>
            <w:r w:rsidRPr="009A6FBA">
              <w:rPr>
                <w:rFonts w:ascii="Arial" w:hAnsi="Arial" w:cs="Arial"/>
                <w:sz w:val="20"/>
                <w:szCs w:val="20"/>
              </w:rPr>
              <w:t xml:space="preserve"> </w:t>
            </w:r>
          </w:p>
          <w:p w:rsidR="00B8517D" w:rsidRPr="009A6FBA" w:rsidP="00B12EB8">
            <w:pPr>
              <w:jc w:val="both"/>
              <w:rPr>
                <w:rFonts w:ascii="Arial" w:hAnsi="Arial" w:cs="Arial"/>
                <w:sz w:val="20"/>
                <w:szCs w:val="20"/>
              </w:rPr>
            </w:pPr>
            <w:r w:rsidRPr="009A6FBA">
              <w:rPr>
                <w:rFonts w:ascii="Arial" w:hAnsi="Arial" w:cs="Arial"/>
                <w:b/>
                <w:sz w:val="20"/>
                <w:szCs w:val="20"/>
              </w:rPr>
              <w:t xml:space="preserve">- </w:t>
            </w:r>
            <w:r w:rsidRPr="009A6FBA">
              <w:rPr>
                <w:rFonts w:ascii="Arial" w:hAnsi="Arial" w:cs="Arial"/>
                <w:b/>
                <w:sz w:val="20"/>
                <w:szCs w:val="20"/>
              </w:rPr>
              <w:t>Market failures:</w:t>
            </w:r>
            <w:r w:rsidRPr="009A6FBA">
              <w:rPr>
                <w:rFonts w:ascii="Arial" w:hAnsi="Arial" w:cs="Arial"/>
                <w:sz w:val="20"/>
                <w:szCs w:val="20"/>
              </w:rPr>
              <w:t xml:space="preserve"> The market has failed to agree on a single, reliable method/ approach to </w:t>
            </w:r>
            <w:r w:rsidRPr="009A6FBA" w:rsidR="002906F5">
              <w:rPr>
                <w:rFonts w:ascii="Arial" w:hAnsi="Arial" w:cs="Arial"/>
                <w:sz w:val="20"/>
                <w:szCs w:val="20"/>
              </w:rPr>
              <w:t xml:space="preserve">quantify </w:t>
            </w:r>
            <w:r w:rsidRPr="009A6FBA">
              <w:rPr>
                <w:rFonts w:ascii="Arial" w:hAnsi="Arial" w:cs="Arial"/>
                <w:sz w:val="20"/>
                <w:szCs w:val="20"/>
              </w:rPr>
              <w:t xml:space="preserve">environmental </w:t>
            </w:r>
            <w:r w:rsidRPr="009A6FBA" w:rsidR="00EB6073">
              <w:rPr>
                <w:rFonts w:ascii="Arial" w:hAnsi="Arial" w:cs="Arial"/>
                <w:sz w:val="20"/>
                <w:szCs w:val="20"/>
              </w:rPr>
              <w:t>impacts</w:t>
            </w:r>
            <w:r w:rsidRPr="009A6FBA" w:rsidR="005D39F7">
              <w:rPr>
                <w:rFonts w:ascii="Arial" w:hAnsi="Arial" w:cs="Arial"/>
                <w:sz w:val="20"/>
                <w:szCs w:val="20"/>
              </w:rPr>
              <w:t>, including climate-related claims,</w:t>
            </w:r>
            <w:r w:rsidRPr="009A6FBA" w:rsidR="00EB6073">
              <w:rPr>
                <w:rFonts w:ascii="Arial" w:hAnsi="Arial" w:cs="Arial"/>
                <w:sz w:val="20"/>
                <w:szCs w:val="20"/>
              </w:rPr>
              <w:t xml:space="preserve"> </w:t>
            </w:r>
            <w:r w:rsidRPr="009A6FBA" w:rsidR="00695C0B">
              <w:rPr>
                <w:rFonts w:ascii="Arial" w:hAnsi="Arial" w:cs="Arial"/>
                <w:sz w:val="20"/>
                <w:szCs w:val="20"/>
              </w:rPr>
              <w:t>that would guarantee the comparability of results</w:t>
            </w:r>
            <w:r w:rsidRPr="009A6FBA" w:rsidR="007C0F69">
              <w:rPr>
                <w:rFonts w:ascii="Arial" w:hAnsi="Arial" w:cs="Arial"/>
                <w:sz w:val="20"/>
                <w:szCs w:val="20"/>
              </w:rPr>
              <w:t xml:space="preserve">, </w:t>
            </w:r>
            <w:r w:rsidRPr="009A6FBA" w:rsidR="008156A8">
              <w:rPr>
                <w:rFonts w:ascii="Arial" w:hAnsi="Arial" w:cs="Arial"/>
                <w:sz w:val="20"/>
                <w:szCs w:val="20"/>
              </w:rPr>
              <w:t>leading to unfair competition on environmental performance and costs to companies</w:t>
            </w:r>
            <w:r w:rsidRPr="009A6FBA">
              <w:rPr>
                <w:rFonts w:ascii="Arial" w:hAnsi="Arial" w:cs="Arial"/>
                <w:sz w:val="20"/>
                <w:szCs w:val="20"/>
              </w:rPr>
              <w:t xml:space="preserve">. </w:t>
            </w:r>
          </w:p>
          <w:p w:rsidR="00B8517D" w:rsidRPr="009A6FBA" w:rsidP="00B12EB8">
            <w:pPr>
              <w:jc w:val="both"/>
              <w:rPr>
                <w:rFonts w:ascii="Arial" w:hAnsi="Arial" w:cs="Arial"/>
                <w:sz w:val="20"/>
                <w:szCs w:val="20"/>
              </w:rPr>
            </w:pPr>
          </w:p>
          <w:p w:rsidR="000E1434" w:rsidRPr="009A6FBA" w:rsidP="005A7CD3">
            <w:pPr>
              <w:spacing w:after="120"/>
              <w:jc w:val="both"/>
              <w:rPr>
                <w:rFonts w:ascii="Arial" w:hAnsi="Arial" w:cs="Arial"/>
                <w:sz w:val="20"/>
                <w:szCs w:val="20"/>
              </w:rPr>
            </w:pPr>
            <w:r w:rsidRPr="009A6FBA">
              <w:rPr>
                <w:rFonts w:ascii="Arial" w:hAnsi="Arial" w:cs="Arial"/>
                <w:sz w:val="20"/>
                <w:szCs w:val="20"/>
              </w:rPr>
              <w:t xml:space="preserve">- </w:t>
            </w:r>
            <w:r w:rsidRPr="009A6FBA" w:rsidR="00390EF5">
              <w:rPr>
                <w:rFonts w:ascii="Arial" w:hAnsi="Arial" w:cs="Arial"/>
                <w:b/>
                <w:sz w:val="20"/>
                <w:szCs w:val="20"/>
              </w:rPr>
              <w:t>Regulatory failure:</w:t>
            </w:r>
            <w:r w:rsidRPr="009A6FBA" w:rsidR="00F66904">
              <w:rPr>
                <w:rFonts w:ascii="Arial" w:hAnsi="Arial" w:cs="Arial"/>
                <w:b/>
                <w:sz w:val="20"/>
                <w:szCs w:val="20"/>
              </w:rPr>
              <w:t xml:space="preserve"> </w:t>
            </w:r>
            <w:r w:rsidRPr="009A6FBA" w:rsidR="00F66904">
              <w:rPr>
                <w:rFonts w:ascii="Arial" w:hAnsi="Arial" w:cs="Arial"/>
                <w:sz w:val="20"/>
                <w:szCs w:val="20"/>
              </w:rPr>
              <w:t>The Commission</w:t>
            </w:r>
            <w:r w:rsidRPr="009A6FBA" w:rsidR="00A506F7">
              <w:rPr>
                <w:rFonts w:ascii="Arial" w:hAnsi="Arial" w:cs="Arial"/>
                <w:sz w:val="20"/>
                <w:szCs w:val="20"/>
              </w:rPr>
              <w:t xml:space="preserve"> adopted a</w:t>
            </w:r>
            <w:r w:rsidRPr="009A6FBA" w:rsidR="00F66904">
              <w:rPr>
                <w:rFonts w:ascii="Arial" w:hAnsi="Arial" w:cs="Arial"/>
                <w:sz w:val="20"/>
                <w:szCs w:val="20"/>
              </w:rPr>
              <w:t xml:space="preserve"> Recommendation 2013/179/EU establish</w:t>
            </w:r>
            <w:r w:rsidRPr="009A6FBA" w:rsidR="00A506F7">
              <w:rPr>
                <w:rFonts w:ascii="Arial" w:hAnsi="Arial" w:cs="Arial"/>
                <w:sz w:val="20"/>
                <w:szCs w:val="20"/>
              </w:rPr>
              <w:t>ing</w:t>
            </w:r>
            <w:r w:rsidRPr="009A6FBA" w:rsidR="00F66904">
              <w:rPr>
                <w:rFonts w:ascii="Arial" w:hAnsi="Arial" w:cs="Arial"/>
                <w:sz w:val="20"/>
                <w:szCs w:val="20"/>
              </w:rPr>
              <w:t xml:space="preserve"> </w:t>
            </w:r>
            <w:r w:rsidRPr="009A6FBA" w:rsidR="00390EF5">
              <w:rPr>
                <w:rFonts w:ascii="Arial" w:hAnsi="Arial" w:cs="Arial"/>
                <w:sz w:val="20"/>
                <w:szCs w:val="20"/>
              </w:rPr>
              <w:t>the Product and Organisation Environmental Footprint (PEF and OEF) methods</w:t>
            </w:r>
            <w:r>
              <w:rPr>
                <w:rStyle w:val="FootnoteReference"/>
                <w:rFonts w:ascii="Arial" w:hAnsi="Arial" w:cs="Arial"/>
                <w:sz w:val="20"/>
                <w:szCs w:val="20"/>
              </w:rPr>
              <w:footnoteReference w:id="13"/>
            </w:r>
            <w:r w:rsidRPr="009A6FBA" w:rsidR="00A506F7">
              <w:rPr>
                <w:rFonts w:ascii="Arial" w:hAnsi="Arial" w:cs="Arial"/>
                <w:sz w:val="20"/>
                <w:szCs w:val="20"/>
              </w:rPr>
              <w:t>.</w:t>
            </w:r>
            <w:r w:rsidRPr="009A6FBA" w:rsidR="001F3DCB">
              <w:rPr>
                <w:rFonts w:ascii="Arial" w:hAnsi="Arial" w:cs="Arial"/>
                <w:sz w:val="20"/>
                <w:szCs w:val="20"/>
              </w:rPr>
              <w:t xml:space="preserve"> These methods are voluntary and companies can use other methods</w:t>
            </w:r>
            <w:r w:rsidRPr="009A6FBA" w:rsidR="00F66904">
              <w:rPr>
                <w:rFonts w:ascii="Arial" w:hAnsi="Arial" w:cs="Arial"/>
                <w:sz w:val="20"/>
                <w:szCs w:val="20"/>
              </w:rPr>
              <w:t xml:space="preserve">. </w:t>
            </w:r>
            <w:r w:rsidRPr="009A6FBA" w:rsidR="008D606B">
              <w:rPr>
                <w:rFonts w:ascii="Arial" w:hAnsi="Arial" w:cs="Arial"/>
                <w:sz w:val="20"/>
                <w:szCs w:val="20"/>
              </w:rPr>
              <w:t>T</w:t>
            </w:r>
            <w:r w:rsidRPr="009A6FBA">
              <w:rPr>
                <w:rFonts w:ascii="Arial" w:hAnsi="Arial" w:cs="Arial"/>
                <w:sz w:val="20"/>
                <w:szCs w:val="20"/>
              </w:rPr>
              <w:t xml:space="preserve">here </w:t>
            </w:r>
            <w:r w:rsidRPr="009A6FBA" w:rsidR="00430F44">
              <w:rPr>
                <w:rFonts w:ascii="Arial" w:hAnsi="Arial" w:cs="Arial"/>
                <w:sz w:val="20"/>
                <w:szCs w:val="20"/>
              </w:rPr>
              <w:t xml:space="preserve">is </w:t>
            </w:r>
            <w:r w:rsidRPr="009A6FBA" w:rsidR="008D606B">
              <w:rPr>
                <w:rFonts w:ascii="Arial" w:hAnsi="Arial" w:cs="Arial"/>
                <w:sz w:val="20"/>
                <w:szCs w:val="20"/>
              </w:rPr>
              <w:t xml:space="preserve">also </w:t>
            </w:r>
            <w:r w:rsidRPr="009A6FBA">
              <w:rPr>
                <w:rFonts w:ascii="Arial" w:hAnsi="Arial" w:cs="Arial"/>
                <w:sz w:val="20"/>
                <w:szCs w:val="20"/>
              </w:rPr>
              <w:t xml:space="preserve">not </w:t>
            </w:r>
            <w:r w:rsidRPr="009A6FBA" w:rsidR="00430F44">
              <w:rPr>
                <w:rFonts w:ascii="Arial" w:hAnsi="Arial" w:cs="Arial"/>
                <w:sz w:val="20"/>
                <w:szCs w:val="20"/>
              </w:rPr>
              <w:t xml:space="preserve">a </w:t>
            </w:r>
            <w:r w:rsidRPr="009A6FBA">
              <w:rPr>
                <w:rFonts w:ascii="Arial" w:hAnsi="Arial" w:cs="Arial"/>
                <w:sz w:val="20"/>
                <w:szCs w:val="20"/>
              </w:rPr>
              <w:t xml:space="preserve">full alignment </w:t>
            </w:r>
            <w:r w:rsidRPr="009A6FBA" w:rsidR="008D606B">
              <w:rPr>
                <w:rFonts w:ascii="Arial" w:hAnsi="Arial" w:cs="Arial"/>
                <w:sz w:val="20"/>
                <w:szCs w:val="20"/>
              </w:rPr>
              <w:t xml:space="preserve">with other </w:t>
            </w:r>
            <w:r w:rsidRPr="009A6FBA" w:rsidR="00690FA2">
              <w:rPr>
                <w:rFonts w:ascii="Arial" w:hAnsi="Arial" w:cs="Arial"/>
                <w:sz w:val="20"/>
                <w:szCs w:val="20"/>
              </w:rPr>
              <w:t>initiatives relying on the assessment of environmental performance, e.g.</w:t>
            </w:r>
            <w:r w:rsidRPr="009A6FBA">
              <w:rPr>
                <w:rFonts w:ascii="Arial" w:hAnsi="Arial" w:cs="Arial"/>
                <w:sz w:val="20"/>
                <w:szCs w:val="20"/>
              </w:rPr>
              <w:t xml:space="preserve"> EU Ecolabel and national labels, </w:t>
            </w:r>
            <w:r w:rsidRPr="009A6FBA" w:rsidR="00430F44">
              <w:rPr>
                <w:rFonts w:ascii="Arial" w:hAnsi="Arial" w:cs="Arial"/>
                <w:sz w:val="20"/>
                <w:szCs w:val="20"/>
              </w:rPr>
              <w:t>EU Eco-Management and Audit Scheme (EMAS)</w:t>
            </w:r>
            <w:r w:rsidRPr="009A6FBA">
              <w:rPr>
                <w:rFonts w:ascii="Arial" w:hAnsi="Arial" w:cs="Arial"/>
                <w:sz w:val="20"/>
                <w:szCs w:val="20"/>
              </w:rPr>
              <w:t>, Non-financial reporting directive requirements, the Taxonomy and the E</w:t>
            </w:r>
            <w:r w:rsidRPr="009A6FBA" w:rsidR="00430F44">
              <w:rPr>
                <w:rFonts w:ascii="Arial" w:hAnsi="Arial" w:cs="Arial"/>
                <w:sz w:val="20"/>
                <w:szCs w:val="20"/>
              </w:rPr>
              <w:t xml:space="preserve">missions </w:t>
            </w:r>
            <w:r w:rsidRPr="009A6FBA">
              <w:rPr>
                <w:rFonts w:ascii="Arial" w:hAnsi="Arial" w:cs="Arial"/>
                <w:sz w:val="20"/>
                <w:szCs w:val="20"/>
              </w:rPr>
              <w:t>T</w:t>
            </w:r>
            <w:r w:rsidRPr="009A6FBA" w:rsidR="00430F44">
              <w:rPr>
                <w:rFonts w:ascii="Arial" w:hAnsi="Arial" w:cs="Arial"/>
                <w:sz w:val="20"/>
                <w:szCs w:val="20"/>
              </w:rPr>
              <w:t xml:space="preserve">rading </w:t>
            </w:r>
            <w:r w:rsidRPr="009A6FBA">
              <w:rPr>
                <w:rFonts w:ascii="Arial" w:hAnsi="Arial" w:cs="Arial"/>
                <w:sz w:val="20"/>
                <w:szCs w:val="20"/>
              </w:rPr>
              <w:t>S</w:t>
            </w:r>
            <w:r w:rsidRPr="009A6FBA" w:rsidR="00430F44">
              <w:rPr>
                <w:rFonts w:ascii="Arial" w:hAnsi="Arial" w:cs="Arial"/>
                <w:sz w:val="20"/>
                <w:szCs w:val="20"/>
              </w:rPr>
              <w:t>cheme (ETS)</w:t>
            </w:r>
            <w:r w:rsidRPr="009A6FBA">
              <w:rPr>
                <w:rFonts w:ascii="Arial" w:hAnsi="Arial" w:cs="Arial"/>
                <w:sz w:val="20"/>
                <w:szCs w:val="20"/>
              </w:rPr>
              <w:t xml:space="preserve"> benchmarking and international standards as the Global Reporting Initiative</w:t>
            </w:r>
            <w:r w:rsidRPr="009A6FBA" w:rsidR="000C009D">
              <w:rPr>
                <w:rFonts w:ascii="Arial" w:hAnsi="Arial" w:cs="Arial"/>
                <w:sz w:val="20"/>
                <w:szCs w:val="20"/>
              </w:rPr>
              <w:t>.</w:t>
            </w:r>
          </w:p>
          <w:p w:rsidR="003B06F8" w:rsidRPr="00332198" w:rsidP="00BE676D">
            <w:pPr>
              <w:spacing w:before="60" w:after="240"/>
              <w:jc w:val="both"/>
              <w:rPr>
                <w:rFonts w:ascii="Arial" w:hAnsi="Arial" w:cs="Arial"/>
                <w:sz w:val="20"/>
                <w:szCs w:val="20"/>
              </w:rPr>
            </w:pPr>
            <w:r w:rsidRPr="009A6FBA">
              <w:rPr>
                <w:rFonts w:ascii="Arial" w:hAnsi="Arial" w:cs="Arial"/>
                <w:b/>
                <w:sz w:val="20"/>
                <w:szCs w:val="20"/>
              </w:rPr>
              <w:t xml:space="preserve">- </w:t>
            </w:r>
            <w:r w:rsidRPr="009A6FBA" w:rsidR="00A1178A">
              <w:rPr>
                <w:rFonts w:ascii="Arial" w:hAnsi="Arial" w:cs="Arial"/>
                <w:b/>
                <w:sz w:val="20"/>
                <w:szCs w:val="20"/>
              </w:rPr>
              <w:t>Imperfect information</w:t>
            </w:r>
            <w:r w:rsidRPr="009A6FBA" w:rsidR="00390EF5">
              <w:rPr>
                <w:rFonts w:ascii="Arial" w:hAnsi="Arial" w:cs="Arial"/>
                <w:b/>
                <w:sz w:val="20"/>
                <w:szCs w:val="20"/>
              </w:rPr>
              <w:t xml:space="preserve">: </w:t>
            </w:r>
            <w:r w:rsidRPr="009A6FBA" w:rsidR="008A295A">
              <w:rPr>
                <w:rFonts w:ascii="Arial" w:hAnsi="Arial" w:cs="Arial"/>
                <w:sz w:val="20"/>
                <w:szCs w:val="20"/>
              </w:rPr>
              <w:t xml:space="preserve">market actors </w:t>
            </w:r>
            <w:r w:rsidRPr="009A6FBA" w:rsidR="00390EF5">
              <w:rPr>
                <w:rFonts w:ascii="Arial" w:hAnsi="Arial" w:cs="Arial"/>
                <w:sz w:val="20"/>
                <w:szCs w:val="20"/>
              </w:rPr>
              <w:t>do not have access to simpl</w:t>
            </w:r>
            <w:r w:rsidRPr="009A6FBA" w:rsidR="00CD4035">
              <w:rPr>
                <w:rFonts w:ascii="Arial" w:hAnsi="Arial" w:cs="Arial"/>
                <w:sz w:val="20"/>
                <w:szCs w:val="20"/>
              </w:rPr>
              <w:t>ified</w:t>
            </w:r>
            <w:r w:rsidRPr="009A6FBA" w:rsidR="00390EF5">
              <w:rPr>
                <w:rFonts w:ascii="Arial" w:hAnsi="Arial" w:cs="Arial"/>
                <w:sz w:val="20"/>
                <w:szCs w:val="20"/>
              </w:rPr>
              <w:t>, immediate and trustworthy information</w:t>
            </w:r>
            <w:r w:rsidRPr="009A6FBA" w:rsidR="00430F44">
              <w:rPr>
                <w:rFonts w:ascii="Arial" w:hAnsi="Arial" w:cs="Arial"/>
                <w:sz w:val="20"/>
                <w:szCs w:val="20"/>
              </w:rPr>
              <w:t xml:space="preserve"> on environmental performance of products</w:t>
            </w:r>
            <w:r w:rsidRPr="009A6FBA" w:rsidR="00390EF5">
              <w:rPr>
                <w:rFonts w:ascii="Arial" w:hAnsi="Arial" w:cs="Arial"/>
                <w:sz w:val="20"/>
                <w:szCs w:val="20"/>
              </w:rPr>
              <w:t>.</w:t>
            </w:r>
            <w:r w:rsidRPr="009A6FBA" w:rsidR="00AE687F">
              <w:rPr>
                <w:rFonts w:ascii="Arial" w:hAnsi="Arial" w:cs="Arial"/>
                <w:sz w:val="20"/>
                <w:szCs w:val="20"/>
              </w:rPr>
              <w:t xml:space="preserve"> </w:t>
            </w:r>
            <w:r w:rsidRPr="009A6FBA" w:rsidR="00587637">
              <w:rPr>
                <w:rFonts w:ascii="Arial" w:hAnsi="Arial" w:cs="Arial"/>
                <w:sz w:val="20"/>
                <w:szCs w:val="20"/>
              </w:rPr>
              <w:t>S</w:t>
            </w:r>
            <w:r w:rsidRPr="009A6FBA" w:rsidR="00AE687F">
              <w:rPr>
                <w:rFonts w:ascii="Arial" w:hAnsi="Arial" w:cs="Arial"/>
                <w:sz w:val="20"/>
                <w:szCs w:val="20"/>
              </w:rPr>
              <w:t>uch information exists for specific product</w:t>
            </w:r>
            <w:r w:rsidRPr="009A6FBA" w:rsidR="00BE676D">
              <w:rPr>
                <w:rFonts w:ascii="Arial" w:hAnsi="Arial" w:cs="Arial"/>
                <w:sz w:val="20"/>
                <w:szCs w:val="20"/>
              </w:rPr>
              <w:t xml:space="preserve">s </w:t>
            </w:r>
            <w:r w:rsidRPr="009A6FBA" w:rsidR="00430F44">
              <w:rPr>
                <w:rFonts w:ascii="Arial" w:hAnsi="Arial" w:cs="Arial"/>
                <w:sz w:val="20"/>
                <w:szCs w:val="20"/>
              </w:rPr>
              <w:t>that choose to apply for</w:t>
            </w:r>
            <w:r w:rsidR="00CC1A13">
              <w:rPr>
                <w:rFonts w:ascii="Arial" w:hAnsi="Arial" w:cs="Arial"/>
                <w:sz w:val="20"/>
                <w:szCs w:val="20"/>
              </w:rPr>
              <w:t xml:space="preserve"> example</w:t>
            </w:r>
            <w:r w:rsidRPr="009A6FBA" w:rsidR="00430F44">
              <w:rPr>
                <w:rFonts w:ascii="Arial" w:hAnsi="Arial" w:cs="Arial"/>
                <w:sz w:val="20"/>
                <w:szCs w:val="20"/>
              </w:rPr>
              <w:t xml:space="preserve"> </w:t>
            </w:r>
            <w:r w:rsidRPr="009A6FBA" w:rsidR="00AE687F">
              <w:rPr>
                <w:rFonts w:ascii="Arial" w:hAnsi="Arial" w:cs="Arial"/>
                <w:sz w:val="20"/>
                <w:szCs w:val="20"/>
              </w:rPr>
              <w:t>through the EU Ecolabel and equivalent national</w:t>
            </w:r>
            <w:r w:rsidRPr="009A6FBA" w:rsidR="006A577E">
              <w:rPr>
                <w:rFonts w:ascii="Arial" w:hAnsi="Arial" w:cs="Arial"/>
                <w:sz w:val="20"/>
                <w:szCs w:val="20"/>
              </w:rPr>
              <w:t>/regional</w:t>
            </w:r>
            <w:r w:rsidRPr="009A6FBA" w:rsidR="00AE687F">
              <w:rPr>
                <w:rFonts w:ascii="Arial" w:hAnsi="Arial" w:cs="Arial"/>
                <w:sz w:val="20"/>
                <w:szCs w:val="20"/>
              </w:rPr>
              <w:t xml:space="preserve"> schemes (e.g. Nordic Swan, Blue Angel, etc.)</w:t>
            </w:r>
            <w:r w:rsidRPr="009A6FBA" w:rsidR="00BE676D">
              <w:rPr>
                <w:rFonts w:ascii="Arial" w:hAnsi="Arial" w:cs="Arial"/>
                <w:sz w:val="20"/>
                <w:szCs w:val="20"/>
              </w:rPr>
              <w:t>, for product categories covered by these “best-in-class” schemes</w:t>
            </w:r>
            <w:r w:rsidRPr="009A6FBA" w:rsidR="00AE687F">
              <w:rPr>
                <w:rFonts w:ascii="Arial" w:hAnsi="Arial" w:cs="Arial"/>
                <w:sz w:val="20"/>
                <w:szCs w:val="20"/>
              </w:rPr>
              <w:t xml:space="preserve">. However, information for </w:t>
            </w:r>
            <w:r w:rsidRPr="009A6FBA" w:rsidR="009D49D6">
              <w:rPr>
                <w:rFonts w:ascii="Arial" w:hAnsi="Arial" w:cs="Arial"/>
                <w:sz w:val="20"/>
                <w:szCs w:val="20"/>
              </w:rPr>
              <w:t xml:space="preserve">the majority </w:t>
            </w:r>
            <w:r w:rsidRPr="009A6FBA" w:rsidR="00AE687F">
              <w:rPr>
                <w:rFonts w:ascii="Arial" w:hAnsi="Arial" w:cs="Arial"/>
                <w:sz w:val="20"/>
                <w:szCs w:val="20"/>
              </w:rPr>
              <w:t xml:space="preserve">of the </w:t>
            </w:r>
            <w:r w:rsidRPr="00332198" w:rsidR="00AE687F">
              <w:rPr>
                <w:rFonts w:ascii="Arial" w:hAnsi="Arial" w:cs="Arial"/>
                <w:sz w:val="20"/>
                <w:szCs w:val="20"/>
              </w:rPr>
              <w:t>products</w:t>
            </w:r>
            <w:r w:rsidRPr="00332198" w:rsidR="00430F44">
              <w:rPr>
                <w:rFonts w:ascii="Arial" w:hAnsi="Arial" w:cs="Arial"/>
                <w:sz w:val="20"/>
                <w:szCs w:val="20"/>
              </w:rPr>
              <w:t xml:space="preserve"> on the market</w:t>
            </w:r>
            <w:r w:rsidRPr="00332198" w:rsidR="00AE687F">
              <w:rPr>
                <w:rFonts w:ascii="Arial" w:hAnsi="Arial" w:cs="Arial"/>
                <w:sz w:val="20"/>
                <w:szCs w:val="20"/>
              </w:rPr>
              <w:t xml:space="preserve"> is not available. </w:t>
            </w:r>
          </w:p>
          <w:p w:rsidR="00B139F5" w:rsidRPr="00F82B42" w:rsidP="00B139F5">
            <w:pPr>
              <w:pStyle w:val="Default"/>
              <w:jc w:val="both"/>
              <w:rPr>
                <w:rFonts w:ascii="Arial" w:hAnsi="Arial" w:cs="Arial"/>
                <w:color w:val="auto"/>
                <w:sz w:val="20"/>
                <w:szCs w:val="20"/>
                <w:lang w:val="en-GB"/>
              </w:rPr>
            </w:pPr>
            <w:r w:rsidRPr="00332198">
              <w:rPr>
                <w:rFonts w:ascii="Arial" w:hAnsi="Arial" w:cs="Arial"/>
                <w:sz w:val="20"/>
                <w:szCs w:val="20"/>
                <w:lang w:val="en-GB"/>
              </w:rPr>
              <w:t xml:space="preserve">This initiative aims to address the above mentioned problems from the perspective of environmental claims, and it will </w:t>
            </w:r>
            <w:r w:rsidRPr="00332198">
              <w:rPr>
                <w:rFonts w:ascii="Arial" w:hAnsi="Arial" w:cs="Arial"/>
                <w:sz w:val="20"/>
                <w:szCs w:val="20"/>
                <w:lang w:val="en-IE"/>
              </w:rPr>
              <w:t>take into account solutions provided by other CEAP initiatives with which it will be fully coordinated and articulated</w:t>
            </w:r>
            <w:r w:rsidRPr="00332198">
              <w:rPr>
                <w:rFonts w:ascii="Arial" w:hAnsi="Arial" w:cs="Arial"/>
                <w:i/>
                <w:color w:val="auto"/>
                <w:sz w:val="20"/>
                <w:szCs w:val="20"/>
                <w:lang w:val="en-GB"/>
              </w:rPr>
              <w:t>.</w:t>
            </w:r>
          </w:p>
          <w:p w:rsidR="008D0A06" w:rsidRPr="00332198" w:rsidP="00332198">
            <w:pPr>
              <w:pStyle w:val="Default"/>
              <w:jc w:val="both"/>
              <w:rPr>
                <w:rFonts w:ascii="Arial" w:hAnsi="Arial" w:cs="Arial"/>
                <w:color w:val="00B050"/>
                <w:sz w:val="20"/>
                <w:szCs w:val="20"/>
                <w:lang w:val="en-IE"/>
              </w:rPr>
            </w:pPr>
          </w:p>
        </w:tc>
      </w:tr>
      <w:tr w:rsidTr="00203E25">
        <w:tblPrEx>
          <w:tblW w:w="10314" w:type="dxa"/>
          <w:tblLook w:val="01E0"/>
        </w:tblPrEx>
        <w:tc>
          <w:tcPr>
            <w:tcW w:w="10314" w:type="dxa"/>
            <w:tcBorders>
              <w:bottom w:val="single" w:sz="4" w:space="0" w:color="auto"/>
            </w:tcBorders>
            <w:shd w:val="clear" w:color="auto" w:fill="E6E6E6"/>
          </w:tcPr>
          <w:p w:rsidR="009E6661" w:rsidRPr="009A6FBA">
            <w:pPr>
              <w:spacing w:before="60" w:after="60"/>
              <w:jc w:val="both"/>
              <w:rPr>
                <w:rFonts w:ascii="Arial" w:hAnsi="Arial" w:cs="Arial"/>
                <w:b/>
                <w:sz w:val="20"/>
                <w:szCs w:val="20"/>
              </w:rPr>
            </w:pPr>
            <w:r w:rsidRPr="009A6FBA">
              <w:rPr>
                <w:rFonts w:ascii="Arial" w:hAnsi="Arial" w:cs="Arial"/>
                <w:b/>
                <w:sz w:val="20"/>
                <w:szCs w:val="20"/>
              </w:rPr>
              <w:t>Basis for EU intervention (legal basis and s</w:t>
            </w:r>
            <w:r w:rsidRPr="009A6FBA" w:rsidR="004611F3">
              <w:rPr>
                <w:rFonts w:ascii="Arial" w:hAnsi="Arial" w:cs="Arial"/>
                <w:b/>
                <w:sz w:val="20"/>
                <w:szCs w:val="20"/>
              </w:rPr>
              <w:t>ubsidiarity check</w:t>
            </w:r>
            <w:r w:rsidRPr="009A6FBA">
              <w:rPr>
                <w:rFonts w:ascii="Arial" w:hAnsi="Arial" w:cs="Arial"/>
                <w:b/>
                <w:sz w:val="20"/>
                <w:szCs w:val="20"/>
              </w:rPr>
              <w:t>)</w:t>
            </w:r>
          </w:p>
        </w:tc>
      </w:tr>
      <w:tr w:rsidTr="00203E25">
        <w:tblPrEx>
          <w:tblW w:w="10314" w:type="dxa"/>
          <w:tblLook w:val="01E0"/>
        </w:tblPrEx>
        <w:tc>
          <w:tcPr>
            <w:tcW w:w="10314" w:type="dxa"/>
            <w:shd w:val="clear" w:color="auto" w:fill="auto"/>
          </w:tcPr>
          <w:p w:rsidR="00667D3E" w:rsidRPr="009A6FBA" w:rsidP="00CA4F38">
            <w:pPr>
              <w:spacing w:before="60" w:after="120"/>
              <w:jc w:val="both"/>
              <w:rPr>
                <w:rFonts w:ascii="Arial" w:hAnsi="Arial" w:cs="Arial"/>
                <w:sz w:val="20"/>
                <w:szCs w:val="20"/>
              </w:rPr>
            </w:pPr>
            <w:r w:rsidRPr="009A6FBA">
              <w:rPr>
                <w:rFonts w:ascii="Arial" w:hAnsi="Arial" w:cs="Arial"/>
                <w:sz w:val="20"/>
                <w:szCs w:val="20"/>
              </w:rPr>
              <w:t xml:space="preserve">EU action in the area is based on Articles </w:t>
            </w:r>
            <w:r w:rsidRPr="009A6FBA" w:rsidR="008600B7">
              <w:rPr>
                <w:rFonts w:ascii="Arial" w:hAnsi="Arial" w:cs="Arial"/>
                <w:sz w:val="20"/>
                <w:szCs w:val="20"/>
              </w:rPr>
              <w:t xml:space="preserve">192 </w:t>
            </w:r>
            <w:r w:rsidRPr="009A6FBA">
              <w:rPr>
                <w:rFonts w:ascii="Arial" w:hAnsi="Arial" w:cs="Arial"/>
                <w:sz w:val="20"/>
                <w:szCs w:val="20"/>
              </w:rPr>
              <w:t xml:space="preserve">(Environment) </w:t>
            </w:r>
            <w:r w:rsidRPr="009A6FBA" w:rsidR="006A5E5A">
              <w:rPr>
                <w:rFonts w:ascii="Arial" w:hAnsi="Arial" w:cs="Arial"/>
                <w:sz w:val="20"/>
                <w:szCs w:val="20"/>
              </w:rPr>
              <w:t>or</w:t>
            </w:r>
            <w:r w:rsidRPr="009A6FBA">
              <w:rPr>
                <w:rFonts w:ascii="Arial" w:hAnsi="Arial" w:cs="Arial"/>
                <w:sz w:val="20"/>
                <w:szCs w:val="20"/>
              </w:rPr>
              <w:t xml:space="preserve"> </w:t>
            </w:r>
            <w:r w:rsidRPr="009A6FBA" w:rsidR="00E96FA2">
              <w:rPr>
                <w:rFonts w:ascii="Arial" w:hAnsi="Arial" w:cs="Arial"/>
                <w:sz w:val="20"/>
                <w:szCs w:val="20"/>
              </w:rPr>
              <w:t xml:space="preserve">114 </w:t>
            </w:r>
            <w:r w:rsidRPr="009A6FBA">
              <w:rPr>
                <w:rFonts w:ascii="Arial" w:hAnsi="Arial" w:cs="Arial"/>
                <w:sz w:val="20"/>
                <w:szCs w:val="20"/>
              </w:rPr>
              <w:t>(internal market)</w:t>
            </w:r>
            <w:r w:rsidRPr="009A6FBA">
              <w:rPr>
                <w:rFonts w:ascii="Arial" w:hAnsi="Arial" w:cs="Arial"/>
              </w:rPr>
              <w:t xml:space="preserve"> </w:t>
            </w:r>
            <w:r w:rsidRPr="009A6FBA">
              <w:rPr>
                <w:rFonts w:ascii="Arial" w:hAnsi="Arial" w:cs="Arial"/>
                <w:sz w:val="20"/>
                <w:szCs w:val="20"/>
              </w:rPr>
              <w:t>of the Treaty on the Functioning of the European Union</w:t>
            </w:r>
            <w:r w:rsidRPr="009A6FBA" w:rsidR="008600B7">
              <w:rPr>
                <w:rFonts w:ascii="Arial" w:hAnsi="Arial" w:cs="Arial"/>
                <w:sz w:val="20"/>
                <w:szCs w:val="20"/>
              </w:rPr>
              <w:t>.</w:t>
            </w:r>
            <w:r w:rsidRPr="009A6FBA">
              <w:rPr>
                <w:rFonts w:ascii="Arial" w:hAnsi="Arial" w:cs="Arial"/>
                <w:sz w:val="20"/>
                <w:szCs w:val="20"/>
              </w:rPr>
              <w:t xml:space="preserve"> </w:t>
            </w:r>
          </w:p>
          <w:p w:rsidR="00FA3C9F" w:rsidRPr="009A6FBA" w:rsidP="00CA4F38">
            <w:pPr>
              <w:spacing w:before="60" w:after="120"/>
              <w:jc w:val="both"/>
              <w:rPr>
                <w:rFonts w:ascii="Arial" w:hAnsi="Arial" w:cs="Arial"/>
                <w:sz w:val="20"/>
                <w:szCs w:val="20"/>
              </w:rPr>
            </w:pPr>
            <w:r w:rsidRPr="009A6FBA">
              <w:rPr>
                <w:rFonts w:ascii="Arial" w:hAnsi="Arial" w:cs="Arial"/>
                <w:sz w:val="20"/>
                <w:szCs w:val="20"/>
              </w:rPr>
              <w:t xml:space="preserve">Supply chains are cross-border in nature, both in the EU and internationally. </w:t>
            </w:r>
            <w:r w:rsidRPr="009A6FBA" w:rsidR="00667D3E">
              <w:rPr>
                <w:rFonts w:ascii="Arial" w:hAnsi="Arial" w:cs="Arial"/>
                <w:sz w:val="20"/>
                <w:szCs w:val="20"/>
              </w:rPr>
              <w:t xml:space="preserve">The EU is well placed to promote </w:t>
            </w:r>
            <w:r w:rsidRPr="009A6FBA" w:rsidR="00366FA9">
              <w:rPr>
                <w:rFonts w:ascii="Arial" w:hAnsi="Arial" w:cs="Arial"/>
                <w:sz w:val="20"/>
                <w:szCs w:val="20"/>
              </w:rPr>
              <w:t xml:space="preserve">further </w:t>
            </w:r>
            <w:r w:rsidRPr="009A6FBA" w:rsidR="00667D3E">
              <w:rPr>
                <w:rFonts w:ascii="Arial" w:hAnsi="Arial" w:cs="Arial"/>
                <w:sz w:val="20"/>
                <w:szCs w:val="20"/>
              </w:rPr>
              <w:t xml:space="preserve">harmonisation of methods </w:t>
            </w:r>
            <w:r w:rsidRPr="009A6FBA" w:rsidR="00433BEF">
              <w:rPr>
                <w:rFonts w:ascii="Arial" w:hAnsi="Arial" w:cs="Arial"/>
                <w:sz w:val="20"/>
                <w:szCs w:val="20"/>
              </w:rPr>
              <w:t xml:space="preserve">to assess the environmental impacts of products, services and organisations </w:t>
            </w:r>
            <w:r w:rsidRPr="009A6FBA" w:rsidR="00667D3E">
              <w:rPr>
                <w:rFonts w:ascii="Arial" w:hAnsi="Arial" w:cs="Arial"/>
                <w:sz w:val="20"/>
                <w:szCs w:val="20"/>
              </w:rPr>
              <w:t>across the Single Market, relying on experiences of Member States and private initiatives in this area. The EU can bring an important value added, a</w:t>
            </w:r>
            <w:r w:rsidRPr="009A6FBA" w:rsidR="00366FA9">
              <w:rPr>
                <w:rFonts w:ascii="Arial" w:hAnsi="Arial" w:cs="Arial"/>
                <w:sz w:val="20"/>
                <w:szCs w:val="20"/>
              </w:rPr>
              <w:t>nd</w:t>
            </w:r>
            <w:r w:rsidRPr="009A6FBA" w:rsidR="00667D3E">
              <w:rPr>
                <w:rFonts w:ascii="Arial" w:hAnsi="Arial" w:cs="Arial"/>
                <w:sz w:val="20"/>
                <w:szCs w:val="20"/>
              </w:rPr>
              <w:t xml:space="preserve"> further co-ordination would bring cost savings for governments and the private sector.</w:t>
            </w:r>
          </w:p>
          <w:p w:rsidR="00FA3C9F" w:rsidRPr="009A6FBA" w:rsidP="00BE3680">
            <w:pPr>
              <w:spacing w:before="60" w:after="120"/>
              <w:jc w:val="both"/>
              <w:rPr>
                <w:rFonts w:ascii="Arial" w:hAnsi="Arial" w:cs="Arial"/>
                <w:color w:val="00B050"/>
                <w:sz w:val="20"/>
                <w:szCs w:val="20"/>
              </w:rPr>
            </w:pPr>
            <w:r w:rsidRPr="009A6FBA">
              <w:rPr>
                <w:rFonts w:ascii="Arial" w:hAnsi="Arial" w:cs="Arial"/>
                <w:sz w:val="20"/>
                <w:szCs w:val="20"/>
              </w:rPr>
              <w:t xml:space="preserve">If Member States were to act individually, there is a high risk to end up with </w:t>
            </w:r>
            <w:r w:rsidRPr="009A6FBA" w:rsidR="00667D3E">
              <w:rPr>
                <w:rFonts w:ascii="Arial" w:hAnsi="Arial" w:cs="Arial"/>
                <w:sz w:val="20"/>
                <w:szCs w:val="20"/>
              </w:rPr>
              <w:t xml:space="preserve">many competing </w:t>
            </w:r>
            <w:r w:rsidRPr="009A6FBA">
              <w:rPr>
                <w:rFonts w:ascii="Arial" w:hAnsi="Arial" w:cs="Arial"/>
                <w:sz w:val="20"/>
                <w:szCs w:val="20"/>
              </w:rPr>
              <w:t>different systems, based on different method</w:t>
            </w:r>
            <w:r w:rsidRPr="009A6FBA" w:rsidR="009714FB">
              <w:rPr>
                <w:rFonts w:ascii="Arial" w:hAnsi="Arial" w:cs="Arial"/>
                <w:sz w:val="20"/>
                <w:szCs w:val="20"/>
              </w:rPr>
              <w:t>s</w:t>
            </w:r>
            <w:r w:rsidRPr="009A6FBA">
              <w:rPr>
                <w:rFonts w:ascii="Arial" w:hAnsi="Arial" w:cs="Arial"/>
                <w:sz w:val="20"/>
                <w:szCs w:val="20"/>
              </w:rPr>
              <w:t xml:space="preserve"> and approaches</w:t>
            </w:r>
            <w:r w:rsidRPr="009A6FBA" w:rsidR="006136CC">
              <w:rPr>
                <w:rFonts w:ascii="Arial" w:hAnsi="Arial" w:cs="Arial"/>
                <w:sz w:val="20"/>
                <w:szCs w:val="20"/>
              </w:rPr>
              <w:t xml:space="preserve">, leading to a fragmented internal market, </w:t>
            </w:r>
            <w:r w:rsidRPr="009A6FBA" w:rsidR="00112C2B">
              <w:rPr>
                <w:rFonts w:ascii="Arial" w:hAnsi="Arial" w:cs="Arial"/>
                <w:sz w:val="20"/>
                <w:szCs w:val="20"/>
              </w:rPr>
              <w:t xml:space="preserve">especially for cross-border services (for instance, digital services), </w:t>
            </w:r>
            <w:r w:rsidRPr="009A6FBA" w:rsidR="006136CC">
              <w:rPr>
                <w:rFonts w:ascii="Arial" w:hAnsi="Arial" w:cs="Arial"/>
                <w:sz w:val="20"/>
                <w:szCs w:val="20"/>
              </w:rPr>
              <w:t>increasing</w:t>
            </w:r>
            <w:r w:rsidRPr="009A6FBA" w:rsidR="006136CC">
              <w:rPr>
                <w:rFonts w:ascii="Arial" w:hAnsi="Arial" w:cs="Arial"/>
              </w:rPr>
              <w:t xml:space="preserve"> the </w:t>
            </w:r>
            <w:r w:rsidRPr="009A6FBA" w:rsidR="006136CC">
              <w:rPr>
                <w:rFonts w:ascii="Arial" w:hAnsi="Arial" w:cs="Arial"/>
                <w:sz w:val="20"/>
                <w:szCs w:val="20"/>
              </w:rPr>
              <w:t xml:space="preserve">risk of having uneven awareness and information levels on the environmental performance of products and </w:t>
            </w:r>
            <w:r w:rsidRPr="009A6FBA" w:rsidR="00112C2B">
              <w:rPr>
                <w:rFonts w:ascii="Arial" w:hAnsi="Arial" w:cs="Arial"/>
                <w:sz w:val="20"/>
                <w:szCs w:val="20"/>
              </w:rPr>
              <w:t>organisations</w:t>
            </w:r>
            <w:r w:rsidRPr="009A6FBA" w:rsidR="006136CC">
              <w:rPr>
                <w:rFonts w:ascii="Arial" w:hAnsi="Arial" w:cs="Arial"/>
                <w:sz w:val="20"/>
                <w:szCs w:val="20"/>
              </w:rPr>
              <w:t xml:space="preserve"> across EU</w:t>
            </w:r>
            <w:r w:rsidRPr="009A6FBA" w:rsidR="005121CB">
              <w:rPr>
                <w:rFonts w:ascii="Arial" w:hAnsi="Arial" w:cs="Arial"/>
                <w:sz w:val="20"/>
                <w:szCs w:val="20"/>
              </w:rPr>
              <w:t>,</w:t>
            </w:r>
            <w:r w:rsidRPr="009A6FBA" w:rsidR="00054B03">
              <w:rPr>
                <w:rFonts w:ascii="Arial" w:hAnsi="Arial" w:cs="Arial"/>
                <w:sz w:val="20"/>
                <w:szCs w:val="20"/>
              </w:rPr>
              <w:t xml:space="preserve"> and additional costs for companies trading cross-border</w:t>
            </w:r>
            <w:r w:rsidRPr="009A6FBA">
              <w:rPr>
                <w:rFonts w:ascii="Arial" w:hAnsi="Arial" w:cs="Arial"/>
                <w:sz w:val="20"/>
                <w:szCs w:val="20"/>
              </w:rPr>
              <w:t xml:space="preserve">. There are many private schemes </w:t>
            </w:r>
            <w:r w:rsidR="00BE3680">
              <w:rPr>
                <w:rFonts w:ascii="Arial" w:hAnsi="Arial" w:cs="Arial"/>
                <w:sz w:val="20"/>
                <w:szCs w:val="20"/>
              </w:rPr>
              <w:t>which</w:t>
            </w:r>
            <w:r w:rsidRPr="009A6FBA">
              <w:rPr>
                <w:rFonts w:ascii="Arial" w:hAnsi="Arial" w:cs="Arial"/>
                <w:sz w:val="20"/>
                <w:szCs w:val="20"/>
              </w:rPr>
              <w:t xml:space="preserve"> would continue to exist </w:t>
            </w:r>
            <w:r w:rsidR="00BE3680">
              <w:rPr>
                <w:rFonts w:ascii="Arial" w:hAnsi="Arial" w:cs="Arial"/>
                <w:sz w:val="20"/>
                <w:szCs w:val="20"/>
              </w:rPr>
              <w:t>while</w:t>
            </w:r>
            <w:r w:rsidRPr="009A6FBA" w:rsidR="00BE3680">
              <w:rPr>
                <w:rFonts w:ascii="Arial" w:hAnsi="Arial" w:cs="Arial"/>
                <w:sz w:val="20"/>
                <w:szCs w:val="20"/>
              </w:rPr>
              <w:t xml:space="preserve"> </w:t>
            </w:r>
            <w:r w:rsidRPr="009A6FBA">
              <w:rPr>
                <w:rFonts w:ascii="Arial" w:hAnsi="Arial" w:cs="Arial"/>
                <w:sz w:val="20"/>
                <w:szCs w:val="20"/>
              </w:rPr>
              <w:t xml:space="preserve">new ones </w:t>
            </w:r>
            <w:r w:rsidRPr="009A6FBA" w:rsidR="009522D9">
              <w:rPr>
                <w:rFonts w:ascii="Arial" w:hAnsi="Arial" w:cs="Arial"/>
                <w:sz w:val="20"/>
                <w:szCs w:val="20"/>
              </w:rPr>
              <w:t xml:space="preserve">would </w:t>
            </w:r>
            <w:r w:rsidR="00BE3680">
              <w:rPr>
                <w:rFonts w:ascii="Arial" w:hAnsi="Arial" w:cs="Arial"/>
                <w:sz w:val="20"/>
                <w:szCs w:val="20"/>
              </w:rPr>
              <w:t xml:space="preserve">also </w:t>
            </w:r>
            <w:r w:rsidRPr="009A6FBA" w:rsidR="009F3566">
              <w:rPr>
                <w:rFonts w:ascii="Arial" w:hAnsi="Arial" w:cs="Arial"/>
                <w:sz w:val="20"/>
                <w:szCs w:val="20"/>
              </w:rPr>
              <w:t>be</w:t>
            </w:r>
            <w:r w:rsidRPr="009A6FBA" w:rsidR="009522D9">
              <w:rPr>
                <w:rFonts w:ascii="Arial" w:hAnsi="Arial" w:cs="Arial"/>
                <w:sz w:val="20"/>
                <w:szCs w:val="20"/>
              </w:rPr>
              <w:t xml:space="preserve"> </w:t>
            </w:r>
            <w:r w:rsidRPr="009A6FBA">
              <w:rPr>
                <w:rFonts w:ascii="Arial" w:hAnsi="Arial" w:cs="Arial"/>
                <w:sz w:val="20"/>
                <w:szCs w:val="20"/>
              </w:rPr>
              <w:t xml:space="preserve">created. </w:t>
            </w:r>
          </w:p>
        </w:tc>
      </w:tr>
      <w:tr w:rsidTr="00203E25">
        <w:tblPrEx>
          <w:tblW w:w="10314" w:type="dxa"/>
          <w:tblLook w:val="01E0"/>
        </w:tblPrEx>
        <w:tc>
          <w:tcPr>
            <w:tcW w:w="10314" w:type="dxa"/>
            <w:tcBorders>
              <w:bottom w:val="single" w:sz="4" w:space="0" w:color="auto"/>
            </w:tcBorders>
            <w:shd w:val="clear" w:color="auto" w:fill="0000FF"/>
          </w:tcPr>
          <w:p w:rsidR="00423AEF" w:rsidRPr="009A6FBA" w:rsidP="009F60F0">
            <w:pPr>
              <w:spacing w:before="120" w:after="60"/>
              <w:jc w:val="center"/>
              <w:rPr>
                <w:rFonts w:ascii="Arial" w:hAnsi="Arial" w:cs="Arial"/>
                <w:b/>
                <w:sz w:val="22"/>
                <w:szCs w:val="22"/>
              </w:rPr>
            </w:pPr>
            <w:r w:rsidRPr="009A6FBA">
              <w:rPr>
                <w:rFonts w:ascii="Arial" w:hAnsi="Arial" w:cs="Arial"/>
                <w:b/>
                <w:sz w:val="22"/>
                <w:szCs w:val="22"/>
              </w:rPr>
              <w:t xml:space="preserve">B. </w:t>
            </w:r>
            <w:r w:rsidRPr="009A6FBA" w:rsidR="00F33A1A">
              <w:rPr>
                <w:rFonts w:ascii="Arial" w:hAnsi="Arial" w:cs="Arial"/>
                <w:b/>
                <w:sz w:val="22"/>
                <w:szCs w:val="22"/>
              </w:rPr>
              <w:t>Objectives and Policy options</w:t>
            </w:r>
          </w:p>
        </w:tc>
      </w:tr>
      <w:tr w:rsidTr="00203E25">
        <w:tblPrEx>
          <w:tblW w:w="10314" w:type="dxa"/>
          <w:tblLook w:val="01E0"/>
        </w:tblPrEx>
        <w:tc>
          <w:tcPr>
            <w:tcW w:w="10314" w:type="dxa"/>
            <w:tcBorders>
              <w:bottom w:val="single" w:sz="4" w:space="0" w:color="auto"/>
            </w:tcBorders>
            <w:shd w:val="clear" w:color="auto" w:fill="auto"/>
          </w:tcPr>
          <w:p w:rsidR="00EB3762" w:rsidRPr="009A6FBA" w:rsidP="00EB3762">
            <w:pPr>
              <w:spacing w:before="60" w:after="60"/>
              <w:jc w:val="both"/>
              <w:rPr>
                <w:rFonts w:ascii="Arial" w:hAnsi="Arial" w:cs="Arial"/>
                <w:color w:val="00B050"/>
                <w:sz w:val="20"/>
                <w:szCs w:val="20"/>
              </w:rPr>
            </w:pPr>
          </w:p>
          <w:p w:rsidR="005E580A" w:rsidRPr="009A6FBA">
            <w:pPr>
              <w:spacing w:before="60" w:after="60"/>
              <w:jc w:val="both"/>
              <w:rPr>
                <w:rFonts w:ascii="Arial" w:hAnsi="Arial" w:cs="Arial"/>
                <w:sz w:val="20"/>
                <w:szCs w:val="20"/>
              </w:rPr>
            </w:pPr>
            <w:r w:rsidRPr="009A6FBA">
              <w:rPr>
                <w:rFonts w:ascii="Arial" w:hAnsi="Arial" w:cs="Arial"/>
                <w:sz w:val="20"/>
                <w:szCs w:val="20"/>
              </w:rPr>
              <w:t xml:space="preserve">The objective of the initiative is to unlock opportunities for the circular </w:t>
            </w:r>
            <w:r w:rsidRPr="009A6FBA" w:rsidR="00397FD6">
              <w:rPr>
                <w:rFonts w:ascii="Arial" w:hAnsi="Arial" w:cs="Arial"/>
                <w:sz w:val="20"/>
                <w:szCs w:val="20"/>
              </w:rPr>
              <w:t xml:space="preserve">and green </w:t>
            </w:r>
            <w:r w:rsidRPr="009A6FBA">
              <w:rPr>
                <w:rFonts w:ascii="Arial" w:hAnsi="Arial" w:cs="Arial"/>
                <w:sz w:val="20"/>
                <w:szCs w:val="20"/>
              </w:rPr>
              <w:t>economy (growth of green markets, opportunities through value chain thinking</w:t>
            </w:r>
            <w:r w:rsidR="00370997">
              <w:rPr>
                <w:rFonts w:ascii="Arial" w:hAnsi="Arial" w:cs="Arial"/>
                <w:sz w:val="20"/>
                <w:szCs w:val="20"/>
              </w:rPr>
              <w:t>, environmental benefits in particular on a more efficient use of resources</w:t>
            </w:r>
            <w:r w:rsidRPr="009A6FBA">
              <w:rPr>
                <w:rFonts w:ascii="Arial" w:hAnsi="Arial" w:cs="Arial"/>
                <w:sz w:val="20"/>
                <w:szCs w:val="20"/>
              </w:rPr>
              <w:t xml:space="preserve">). Specific objectives </w:t>
            </w:r>
            <w:r w:rsidRPr="009A6FBA" w:rsidR="00193D7C">
              <w:rPr>
                <w:rFonts w:ascii="Arial" w:hAnsi="Arial" w:cs="Arial"/>
                <w:sz w:val="20"/>
                <w:szCs w:val="20"/>
              </w:rPr>
              <w:t xml:space="preserve">include </w:t>
            </w:r>
            <w:r w:rsidRPr="009A6FBA">
              <w:rPr>
                <w:rFonts w:ascii="Arial" w:hAnsi="Arial" w:cs="Arial"/>
                <w:sz w:val="20"/>
                <w:szCs w:val="20"/>
              </w:rPr>
              <w:t xml:space="preserve">moving to a more harmonised approach for providing </w:t>
            </w:r>
            <w:r w:rsidRPr="009A6FBA" w:rsidR="007A7A53">
              <w:rPr>
                <w:rFonts w:ascii="Arial" w:hAnsi="Arial" w:cs="Arial"/>
                <w:sz w:val="20"/>
                <w:szCs w:val="20"/>
              </w:rPr>
              <w:t xml:space="preserve">reliable </w:t>
            </w:r>
            <w:r w:rsidRPr="009A6FBA" w:rsidR="00193D7C">
              <w:rPr>
                <w:rFonts w:ascii="Arial" w:hAnsi="Arial" w:cs="Arial"/>
                <w:sz w:val="20"/>
                <w:szCs w:val="20"/>
              </w:rPr>
              <w:t>environmental information</w:t>
            </w:r>
            <w:r w:rsidRPr="009A6FBA" w:rsidR="00236704">
              <w:rPr>
                <w:rFonts w:ascii="Arial" w:hAnsi="Arial" w:cs="Arial"/>
                <w:sz w:val="20"/>
                <w:szCs w:val="20"/>
              </w:rPr>
              <w:t>, increasing simplification and reduction of administrative burdens, especially for SMEs</w:t>
            </w:r>
            <w:r w:rsidRPr="009A6FBA">
              <w:rPr>
                <w:rFonts w:ascii="Arial" w:hAnsi="Arial" w:cs="Arial"/>
                <w:sz w:val="20"/>
                <w:szCs w:val="20"/>
              </w:rPr>
              <w:t xml:space="preserve">. </w:t>
            </w:r>
          </w:p>
          <w:p w:rsidR="005E580A" w:rsidRPr="009A6FBA" w:rsidP="00CA4F38">
            <w:pPr>
              <w:spacing w:before="60" w:after="60"/>
              <w:jc w:val="both"/>
              <w:rPr>
                <w:rFonts w:ascii="Arial" w:hAnsi="Arial" w:cs="Arial"/>
                <w:sz w:val="20"/>
                <w:szCs w:val="20"/>
              </w:rPr>
            </w:pPr>
            <w:r w:rsidRPr="009A6FBA">
              <w:rPr>
                <w:rFonts w:ascii="Arial" w:hAnsi="Arial" w:cs="Arial"/>
                <w:sz w:val="20"/>
                <w:szCs w:val="20"/>
              </w:rPr>
              <w:t xml:space="preserve">The options will be further identified during the </w:t>
            </w:r>
            <w:r w:rsidRPr="009A6FBA" w:rsidR="00236704">
              <w:rPr>
                <w:rFonts w:ascii="Arial" w:hAnsi="Arial" w:cs="Arial"/>
                <w:sz w:val="20"/>
                <w:szCs w:val="20"/>
              </w:rPr>
              <w:t xml:space="preserve">impact assessment </w:t>
            </w:r>
            <w:r w:rsidRPr="009A6FBA">
              <w:rPr>
                <w:rFonts w:ascii="Arial" w:hAnsi="Arial" w:cs="Arial"/>
                <w:sz w:val="20"/>
                <w:szCs w:val="20"/>
              </w:rPr>
              <w:t>and the consultation process</w:t>
            </w:r>
            <w:r w:rsidRPr="009A6FBA" w:rsidR="007A7A53">
              <w:rPr>
                <w:rFonts w:ascii="Arial" w:hAnsi="Arial" w:cs="Arial"/>
                <w:sz w:val="20"/>
                <w:szCs w:val="20"/>
              </w:rPr>
              <w:t>, but could include</w:t>
            </w:r>
            <w:r w:rsidRPr="009A6FBA">
              <w:rPr>
                <w:rFonts w:ascii="Arial" w:hAnsi="Arial" w:cs="Arial"/>
                <w:sz w:val="20"/>
                <w:szCs w:val="20"/>
              </w:rPr>
              <w:t>:</w:t>
            </w:r>
          </w:p>
          <w:p w:rsidR="00236704" w:rsidRPr="009A6FBA" w:rsidP="00236704">
            <w:pPr>
              <w:pStyle w:val="ListParagraph"/>
              <w:numPr>
                <w:ilvl w:val="0"/>
                <w:numId w:val="24"/>
              </w:numPr>
              <w:spacing w:before="60" w:after="60"/>
              <w:jc w:val="both"/>
              <w:rPr>
                <w:rFonts w:ascii="Arial" w:hAnsi="Arial" w:cs="Arial"/>
                <w:sz w:val="20"/>
                <w:szCs w:val="20"/>
              </w:rPr>
            </w:pPr>
            <w:r w:rsidRPr="009A6FBA">
              <w:rPr>
                <w:rFonts w:ascii="Arial" w:hAnsi="Arial" w:cs="Arial"/>
                <w:b/>
                <w:sz w:val="20"/>
                <w:szCs w:val="20"/>
              </w:rPr>
              <w:t>Baseline</w:t>
            </w:r>
            <w:r w:rsidRPr="009A6FBA">
              <w:rPr>
                <w:rFonts w:ascii="Arial" w:hAnsi="Arial" w:cs="Arial"/>
                <w:sz w:val="20"/>
                <w:szCs w:val="20"/>
              </w:rPr>
              <w:t xml:space="preserve">: No modification to the 2013 Recommendation and no further action. </w:t>
            </w:r>
          </w:p>
          <w:p w:rsidR="00236704" w:rsidRPr="009A6FBA" w:rsidP="00D5333F">
            <w:pPr>
              <w:pStyle w:val="ListParagraph"/>
              <w:numPr>
                <w:ilvl w:val="0"/>
                <w:numId w:val="24"/>
              </w:numPr>
              <w:spacing w:before="60" w:after="60"/>
              <w:jc w:val="both"/>
              <w:rPr>
                <w:rFonts w:ascii="Arial" w:hAnsi="Arial" w:cs="Arial"/>
                <w:sz w:val="20"/>
                <w:szCs w:val="20"/>
              </w:rPr>
            </w:pPr>
            <w:r w:rsidRPr="009A6FBA">
              <w:rPr>
                <w:rFonts w:ascii="Arial" w:hAnsi="Arial" w:cs="Arial"/>
                <w:b/>
                <w:sz w:val="20"/>
                <w:szCs w:val="20"/>
              </w:rPr>
              <w:t>Option 1</w:t>
            </w:r>
            <w:r w:rsidRPr="009A6FBA">
              <w:rPr>
                <w:rFonts w:ascii="Arial" w:hAnsi="Arial" w:cs="Arial"/>
                <w:sz w:val="20"/>
                <w:szCs w:val="20"/>
              </w:rPr>
              <w:t>: Updating the 2013 Recommendation based on the outcome of the 2013-2018 pilot phase.</w:t>
            </w:r>
          </w:p>
          <w:p w:rsidR="001E5BB0" w:rsidRPr="009A6FBA" w:rsidP="00D5333F">
            <w:pPr>
              <w:pStyle w:val="ListParagraph"/>
              <w:numPr>
                <w:ilvl w:val="0"/>
                <w:numId w:val="24"/>
              </w:numPr>
              <w:spacing w:before="60" w:after="60"/>
              <w:jc w:val="both"/>
              <w:rPr>
                <w:rFonts w:ascii="Arial" w:hAnsi="Arial" w:cs="Arial"/>
                <w:sz w:val="20"/>
                <w:szCs w:val="20"/>
              </w:rPr>
            </w:pPr>
            <w:r w:rsidRPr="009A6FBA">
              <w:rPr>
                <w:rFonts w:ascii="Arial" w:hAnsi="Arial" w:cs="Arial"/>
                <w:b/>
                <w:sz w:val="20"/>
                <w:szCs w:val="20"/>
              </w:rPr>
              <w:t>Option 2</w:t>
            </w:r>
            <w:r w:rsidRPr="009A6FBA">
              <w:rPr>
                <w:rFonts w:ascii="Arial" w:hAnsi="Arial" w:cs="Arial"/>
                <w:sz w:val="20"/>
                <w:szCs w:val="20"/>
              </w:rPr>
              <w:t xml:space="preserve">: </w:t>
            </w:r>
            <w:r w:rsidRPr="009A6FBA" w:rsidR="00CF6917">
              <w:rPr>
                <w:rFonts w:ascii="Arial" w:hAnsi="Arial" w:cs="Arial"/>
                <w:sz w:val="20"/>
                <w:szCs w:val="20"/>
              </w:rPr>
              <w:t>Establish</w:t>
            </w:r>
            <w:r w:rsidRPr="009A6FBA" w:rsidR="00860D12">
              <w:rPr>
                <w:rFonts w:ascii="Arial" w:hAnsi="Arial" w:cs="Arial"/>
                <w:sz w:val="20"/>
                <w:szCs w:val="20"/>
              </w:rPr>
              <w:t xml:space="preserve"> a voluntary</w:t>
            </w:r>
            <w:r w:rsidRPr="009A6FBA" w:rsidR="00B0669D">
              <w:rPr>
                <w:rFonts w:ascii="Arial" w:hAnsi="Arial" w:cs="Arial"/>
                <w:sz w:val="20"/>
                <w:szCs w:val="20"/>
              </w:rPr>
              <w:t xml:space="preserve"> EU</w:t>
            </w:r>
            <w:r w:rsidRPr="009A6FBA" w:rsidR="00860D12">
              <w:rPr>
                <w:rFonts w:ascii="Arial" w:hAnsi="Arial" w:cs="Arial"/>
                <w:sz w:val="20"/>
                <w:szCs w:val="20"/>
              </w:rPr>
              <w:t xml:space="preserve"> </w:t>
            </w:r>
            <w:r w:rsidRPr="009A6FBA" w:rsidR="00CF6917">
              <w:rPr>
                <w:rFonts w:ascii="Arial" w:hAnsi="Arial" w:cs="Arial"/>
                <w:sz w:val="20"/>
                <w:szCs w:val="20"/>
              </w:rPr>
              <w:t xml:space="preserve">legal </w:t>
            </w:r>
            <w:r w:rsidRPr="009A6FBA" w:rsidR="00860D12">
              <w:rPr>
                <w:rFonts w:ascii="Arial" w:hAnsi="Arial" w:cs="Arial"/>
                <w:sz w:val="20"/>
                <w:szCs w:val="20"/>
              </w:rPr>
              <w:t xml:space="preserve">framework enabling </w:t>
            </w:r>
            <w:r w:rsidRPr="009A6FBA" w:rsidR="00E96FA2">
              <w:rPr>
                <w:rFonts w:ascii="Arial" w:hAnsi="Arial" w:cs="Arial"/>
                <w:sz w:val="20"/>
                <w:szCs w:val="20"/>
              </w:rPr>
              <w:t>companie</w:t>
            </w:r>
            <w:r w:rsidRPr="009A6FBA" w:rsidR="00FC444D">
              <w:rPr>
                <w:rFonts w:ascii="Arial" w:hAnsi="Arial" w:cs="Arial"/>
                <w:sz w:val="20"/>
                <w:szCs w:val="20"/>
              </w:rPr>
              <w:t>s</w:t>
            </w:r>
            <w:r w:rsidRPr="009A6FBA" w:rsidR="00E96FA2">
              <w:rPr>
                <w:rFonts w:ascii="Arial" w:hAnsi="Arial" w:cs="Arial"/>
                <w:sz w:val="20"/>
                <w:szCs w:val="20"/>
              </w:rPr>
              <w:t xml:space="preserve"> to make green claims in accordance with</w:t>
            </w:r>
            <w:r w:rsidRPr="009A6FBA" w:rsidR="00D5333F">
              <w:rPr>
                <w:rFonts w:ascii="Arial" w:hAnsi="Arial" w:cs="Arial"/>
                <w:sz w:val="20"/>
                <w:szCs w:val="20"/>
              </w:rPr>
              <w:t xml:space="preserve"> </w:t>
            </w:r>
            <w:r w:rsidRPr="009A6FBA" w:rsidR="00807C1A">
              <w:rPr>
                <w:rFonts w:ascii="Arial" w:hAnsi="Arial" w:cs="Arial"/>
                <w:sz w:val="20"/>
                <w:szCs w:val="20"/>
              </w:rPr>
              <w:t xml:space="preserve">the </w:t>
            </w:r>
            <w:r w:rsidRPr="009A6FBA">
              <w:rPr>
                <w:rFonts w:ascii="Arial" w:hAnsi="Arial" w:cs="Arial"/>
                <w:sz w:val="20"/>
                <w:szCs w:val="20"/>
              </w:rPr>
              <w:t xml:space="preserve">Environmental Footprint </w:t>
            </w:r>
            <w:r w:rsidRPr="009A6FBA" w:rsidR="00E96FA2">
              <w:rPr>
                <w:rFonts w:ascii="Arial" w:hAnsi="Arial" w:cs="Arial"/>
                <w:sz w:val="20"/>
                <w:szCs w:val="20"/>
              </w:rPr>
              <w:t>methods, as a complement to existing methods</w:t>
            </w:r>
            <w:r w:rsidRPr="009A6FBA" w:rsidR="00B0669D">
              <w:rPr>
                <w:rFonts w:ascii="Arial" w:hAnsi="Arial" w:cs="Arial"/>
                <w:sz w:val="20"/>
                <w:szCs w:val="20"/>
              </w:rPr>
              <w:t xml:space="preserve"> (</w:t>
            </w:r>
            <w:r w:rsidRPr="009A6FBA">
              <w:rPr>
                <w:rFonts w:ascii="Arial" w:hAnsi="Arial" w:cs="Arial"/>
                <w:sz w:val="20"/>
                <w:szCs w:val="20"/>
              </w:rPr>
              <w:t xml:space="preserve">developed by </w:t>
            </w:r>
            <w:r w:rsidRPr="009A6FBA" w:rsidR="00B0669D">
              <w:rPr>
                <w:rFonts w:ascii="Arial" w:hAnsi="Arial" w:cs="Arial"/>
                <w:sz w:val="20"/>
                <w:szCs w:val="20"/>
              </w:rPr>
              <w:t>private</w:t>
            </w:r>
            <w:r w:rsidRPr="009A6FBA">
              <w:rPr>
                <w:rFonts w:ascii="Arial" w:hAnsi="Arial" w:cs="Arial"/>
                <w:sz w:val="20"/>
                <w:szCs w:val="20"/>
              </w:rPr>
              <w:t xml:space="preserve"> or</w:t>
            </w:r>
            <w:r w:rsidRPr="009A6FBA" w:rsidR="00B0669D">
              <w:rPr>
                <w:rFonts w:ascii="Arial" w:hAnsi="Arial" w:cs="Arial"/>
                <w:sz w:val="20"/>
                <w:szCs w:val="20"/>
              </w:rPr>
              <w:t xml:space="preserve"> public</w:t>
            </w:r>
            <w:r w:rsidRPr="009A6FBA">
              <w:rPr>
                <w:rFonts w:ascii="Arial" w:hAnsi="Arial" w:cs="Arial"/>
                <w:sz w:val="20"/>
                <w:szCs w:val="20"/>
              </w:rPr>
              <w:t xml:space="preserve"> </w:t>
            </w:r>
            <w:r w:rsidRPr="009A6FBA" w:rsidR="00D14CE5">
              <w:rPr>
                <w:rFonts w:ascii="Arial" w:hAnsi="Arial" w:cs="Arial"/>
                <w:sz w:val="20"/>
                <w:szCs w:val="20"/>
              </w:rPr>
              <w:t>entities</w:t>
            </w:r>
            <w:r w:rsidRPr="009A6FBA" w:rsidR="00B0669D">
              <w:rPr>
                <w:rFonts w:ascii="Arial" w:hAnsi="Arial" w:cs="Arial"/>
                <w:sz w:val="20"/>
                <w:szCs w:val="20"/>
              </w:rPr>
              <w:t>,</w:t>
            </w:r>
            <w:r w:rsidRPr="009A6FBA">
              <w:rPr>
                <w:rFonts w:ascii="Arial" w:hAnsi="Arial" w:cs="Arial"/>
                <w:sz w:val="20"/>
                <w:szCs w:val="20"/>
              </w:rPr>
              <w:t xml:space="preserve"> at</w:t>
            </w:r>
            <w:r w:rsidRPr="009A6FBA" w:rsidR="00B0669D">
              <w:rPr>
                <w:rFonts w:ascii="Arial" w:hAnsi="Arial" w:cs="Arial"/>
                <w:sz w:val="20"/>
                <w:szCs w:val="20"/>
              </w:rPr>
              <w:t xml:space="preserve"> national</w:t>
            </w:r>
            <w:r w:rsidRPr="009A6FBA">
              <w:rPr>
                <w:rFonts w:ascii="Arial" w:hAnsi="Arial" w:cs="Arial"/>
                <w:sz w:val="20"/>
                <w:szCs w:val="20"/>
              </w:rPr>
              <w:t xml:space="preserve"> or</w:t>
            </w:r>
            <w:r w:rsidRPr="009A6FBA" w:rsidR="00B0669D">
              <w:rPr>
                <w:rFonts w:ascii="Arial" w:hAnsi="Arial" w:cs="Arial"/>
                <w:sz w:val="20"/>
                <w:szCs w:val="20"/>
              </w:rPr>
              <w:t xml:space="preserve"> international</w:t>
            </w:r>
            <w:r w:rsidRPr="009A6FBA">
              <w:rPr>
                <w:rFonts w:ascii="Arial" w:hAnsi="Arial" w:cs="Arial"/>
                <w:sz w:val="20"/>
                <w:szCs w:val="20"/>
              </w:rPr>
              <w:t xml:space="preserve"> level</w:t>
            </w:r>
            <w:r w:rsidRPr="009A6FBA" w:rsidR="00B0669D">
              <w:rPr>
                <w:rFonts w:ascii="Arial" w:hAnsi="Arial" w:cs="Arial"/>
                <w:sz w:val="20"/>
                <w:szCs w:val="20"/>
              </w:rPr>
              <w:t>)</w:t>
            </w:r>
            <w:r w:rsidRPr="009A6FBA" w:rsidR="00E96FA2">
              <w:rPr>
                <w:rFonts w:ascii="Arial" w:hAnsi="Arial" w:cs="Arial"/>
                <w:sz w:val="20"/>
                <w:szCs w:val="20"/>
              </w:rPr>
              <w:t xml:space="preserve">. </w:t>
            </w:r>
          </w:p>
          <w:p w:rsidR="0071241E" w:rsidRPr="009A6FBA" w:rsidP="00CA4F38">
            <w:pPr>
              <w:pStyle w:val="ListParagraph"/>
              <w:numPr>
                <w:ilvl w:val="0"/>
                <w:numId w:val="24"/>
              </w:numPr>
              <w:spacing w:before="60" w:after="60"/>
              <w:jc w:val="both"/>
              <w:rPr>
                <w:rFonts w:ascii="Arial" w:hAnsi="Arial" w:cs="Arial"/>
                <w:sz w:val="20"/>
                <w:szCs w:val="20"/>
              </w:rPr>
            </w:pPr>
            <w:r w:rsidRPr="009A6FBA">
              <w:rPr>
                <w:rFonts w:ascii="Arial" w:hAnsi="Arial" w:cs="Arial"/>
                <w:b/>
                <w:sz w:val="20"/>
                <w:szCs w:val="20"/>
              </w:rPr>
              <w:t>Option 3</w:t>
            </w:r>
            <w:r w:rsidRPr="009A6FBA">
              <w:rPr>
                <w:rFonts w:ascii="Arial" w:hAnsi="Arial" w:cs="Arial"/>
                <w:sz w:val="20"/>
                <w:szCs w:val="20"/>
              </w:rPr>
              <w:t xml:space="preserve">: </w:t>
            </w:r>
            <w:r w:rsidRPr="009A6FBA" w:rsidR="00A506F7">
              <w:rPr>
                <w:rFonts w:ascii="Arial" w:hAnsi="Arial" w:cs="Arial"/>
                <w:sz w:val="20"/>
                <w:szCs w:val="20"/>
              </w:rPr>
              <w:t xml:space="preserve">Establish an EU legal framework requiring </w:t>
            </w:r>
            <w:r w:rsidRPr="009A6FBA" w:rsidR="0087538E">
              <w:rPr>
                <w:rFonts w:ascii="Arial" w:hAnsi="Arial" w:cs="Arial"/>
                <w:sz w:val="20"/>
                <w:szCs w:val="20"/>
              </w:rPr>
              <w:t>companies</w:t>
            </w:r>
            <w:r w:rsidR="009A6FBA">
              <w:rPr>
                <w:rFonts w:ascii="Arial" w:hAnsi="Arial" w:cs="Arial"/>
                <w:sz w:val="20"/>
                <w:szCs w:val="20"/>
              </w:rPr>
              <w:t xml:space="preserve"> </w:t>
            </w:r>
            <w:r w:rsidRPr="009A6FBA" w:rsidR="009F2655">
              <w:rPr>
                <w:rFonts w:ascii="Arial" w:hAnsi="Arial" w:cs="Arial"/>
                <w:sz w:val="20"/>
                <w:szCs w:val="20"/>
              </w:rPr>
              <w:t xml:space="preserve">making claims related to the impacts covered by </w:t>
            </w:r>
            <w:r w:rsidRPr="009A6FBA" w:rsidR="00C420A7">
              <w:rPr>
                <w:rFonts w:ascii="Arial" w:hAnsi="Arial" w:cs="Arial"/>
                <w:sz w:val="20"/>
                <w:szCs w:val="20"/>
              </w:rPr>
              <w:t xml:space="preserve">the </w:t>
            </w:r>
            <w:r w:rsidRPr="009A6FBA" w:rsidR="005A0B13">
              <w:rPr>
                <w:rFonts w:ascii="Arial" w:hAnsi="Arial" w:cs="Arial"/>
                <w:sz w:val="20"/>
                <w:szCs w:val="20"/>
              </w:rPr>
              <w:t xml:space="preserve">Environmental Footprint </w:t>
            </w:r>
            <w:r w:rsidRPr="009A6FBA" w:rsidR="00FC444D">
              <w:rPr>
                <w:rFonts w:ascii="Arial" w:hAnsi="Arial" w:cs="Arial"/>
                <w:sz w:val="20"/>
                <w:szCs w:val="20"/>
              </w:rPr>
              <w:t>method</w:t>
            </w:r>
            <w:r w:rsidRPr="009A6FBA" w:rsidR="00C420A7">
              <w:rPr>
                <w:rFonts w:ascii="Arial" w:hAnsi="Arial" w:cs="Arial"/>
                <w:sz w:val="20"/>
                <w:szCs w:val="20"/>
              </w:rPr>
              <w:t>s</w:t>
            </w:r>
            <w:r>
              <w:rPr>
                <w:rStyle w:val="FootnoteReference"/>
                <w:rFonts w:ascii="Arial" w:hAnsi="Arial" w:cs="Arial"/>
                <w:sz w:val="20"/>
                <w:szCs w:val="20"/>
              </w:rPr>
              <w:footnoteReference w:id="14"/>
            </w:r>
            <w:r w:rsidRPr="009A6FBA" w:rsidR="009F2655">
              <w:rPr>
                <w:rFonts w:ascii="Arial" w:hAnsi="Arial" w:cs="Arial"/>
                <w:sz w:val="20"/>
                <w:szCs w:val="20"/>
              </w:rPr>
              <w:t xml:space="preserve"> </w:t>
            </w:r>
            <w:r w:rsidRPr="009A6FBA" w:rsidR="00A506F7">
              <w:rPr>
                <w:rFonts w:ascii="Arial" w:hAnsi="Arial" w:cs="Arial"/>
                <w:sz w:val="20"/>
                <w:szCs w:val="20"/>
              </w:rPr>
              <w:t xml:space="preserve">to </w:t>
            </w:r>
            <w:r w:rsidRPr="009A6FBA" w:rsidR="009F2655">
              <w:rPr>
                <w:rFonts w:ascii="Arial" w:hAnsi="Arial" w:cs="Arial"/>
                <w:sz w:val="20"/>
                <w:szCs w:val="20"/>
              </w:rPr>
              <w:t xml:space="preserve">substantiate </w:t>
            </w:r>
            <w:r w:rsidRPr="009A6FBA" w:rsidR="00A506F7">
              <w:rPr>
                <w:rFonts w:ascii="Arial" w:hAnsi="Arial" w:cs="Arial"/>
                <w:sz w:val="20"/>
                <w:szCs w:val="20"/>
              </w:rPr>
              <w:t xml:space="preserve">them </w:t>
            </w:r>
            <w:r w:rsidRPr="009A6FBA" w:rsidR="009F2655">
              <w:rPr>
                <w:rFonts w:ascii="Arial" w:hAnsi="Arial" w:cs="Arial"/>
                <w:sz w:val="20"/>
                <w:szCs w:val="20"/>
              </w:rPr>
              <w:t>via the Environmental Footprint methods</w:t>
            </w:r>
            <w:r w:rsidRPr="009A6FBA" w:rsidR="0087538E">
              <w:rPr>
                <w:rFonts w:ascii="Arial" w:hAnsi="Arial" w:cs="Arial"/>
                <w:sz w:val="20"/>
                <w:szCs w:val="20"/>
              </w:rPr>
              <w:t>.</w:t>
            </w:r>
            <w:r w:rsidRPr="009A6FBA" w:rsidR="00437A14">
              <w:rPr>
                <w:rFonts w:ascii="Arial" w:hAnsi="Arial" w:cs="Arial"/>
                <w:sz w:val="20"/>
                <w:szCs w:val="20"/>
              </w:rPr>
              <w:t xml:space="preserve"> </w:t>
            </w:r>
            <w:r w:rsidRPr="009A6FBA" w:rsidR="00A506F7">
              <w:rPr>
                <w:rFonts w:ascii="Arial" w:hAnsi="Arial" w:cs="Arial"/>
                <w:sz w:val="20"/>
                <w:szCs w:val="20"/>
              </w:rPr>
              <w:t>When Product Environmental Footprint Category Rules (PEFCRs) or Organisation Environmental Footprint Sector Rules (OEFSRs)</w:t>
            </w:r>
            <w:r>
              <w:rPr>
                <w:rStyle w:val="FootnoteReference"/>
                <w:rFonts w:ascii="Arial" w:hAnsi="Arial" w:cs="Arial"/>
                <w:sz w:val="20"/>
                <w:szCs w:val="20"/>
              </w:rPr>
              <w:footnoteReference w:id="15"/>
            </w:r>
            <w:r w:rsidRPr="009A6FBA" w:rsidR="00A506F7">
              <w:rPr>
                <w:rFonts w:ascii="Arial" w:hAnsi="Arial" w:cs="Arial"/>
                <w:sz w:val="20"/>
                <w:szCs w:val="20"/>
              </w:rPr>
              <w:t xml:space="preserve"> have bee</w:t>
            </w:r>
            <w:r w:rsidRPr="009A6FBA" w:rsidR="00BB1724">
              <w:rPr>
                <w:rFonts w:ascii="Arial" w:hAnsi="Arial" w:cs="Arial"/>
                <w:sz w:val="20"/>
                <w:szCs w:val="20"/>
              </w:rPr>
              <w:t>n</w:t>
            </w:r>
            <w:r w:rsidRPr="009A6FBA" w:rsidR="00A506F7">
              <w:rPr>
                <w:rFonts w:ascii="Arial" w:hAnsi="Arial" w:cs="Arial"/>
                <w:sz w:val="20"/>
                <w:szCs w:val="20"/>
              </w:rPr>
              <w:t xml:space="preserve"> adopted, green claims should be substantiated on that basis, as they are establishing a more detailed calculation of the environmental footprint.</w:t>
            </w:r>
            <w:r w:rsidR="006648BA">
              <w:rPr>
                <w:rFonts w:ascii="Arial" w:hAnsi="Arial" w:cs="Arial"/>
                <w:sz w:val="20"/>
                <w:szCs w:val="20"/>
              </w:rPr>
              <w:t xml:space="preserve"> When no such rules exist,</w:t>
            </w:r>
            <w:r w:rsidRPr="009A6FBA" w:rsidR="006648BA">
              <w:rPr>
                <w:rFonts w:ascii="Arial" w:hAnsi="Arial" w:cs="Arial"/>
                <w:sz w:val="20"/>
                <w:szCs w:val="20"/>
              </w:rPr>
              <w:t xml:space="preserve"> </w:t>
            </w:r>
            <w:r w:rsidR="006648BA">
              <w:rPr>
                <w:rFonts w:ascii="Arial" w:hAnsi="Arial" w:cs="Arial"/>
                <w:sz w:val="20"/>
                <w:szCs w:val="20"/>
              </w:rPr>
              <w:t>c</w:t>
            </w:r>
            <w:r w:rsidRPr="009A6FBA" w:rsidR="006648BA">
              <w:rPr>
                <w:rFonts w:ascii="Arial" w:hAnsi="Arial" w:cs="Arial"/>
                <w:sz w:val="20"/>
                <w:szCs w:val="20"/>
              </w:rPr>
              <w:t xml:space="preserve">laims </w:t>
            </w:r>
            <w:r w:rsidR="006B7DE0">
              <w:rPr>
                <w:rFonts w:ascii="Arial" w:hAnsi="Arial" w:cs="Arial"/>
                <w:sz w:val="20"/>
                <w:szCs w:val="20"/>
              </w:rPr>
              <w:t>could</w:t>
            </w:r>
            <w:r w:rsidRPr="009A6FBA" w:rsidR="006648BA">
              <w:rPr>
                <w:rFonts w:ascii="Arial" w:hAnsi="Arial" w:cs="Arial"/>
                <w:sz w:val="20"/>
                <w:szCs w:val="20"/>
              </w:rPr>
              <w:t xml:space="preserve"> be substantiated via a study compliant with the PEF/ OEF method</w:t>
            </w:r>
            <w:r w:rsidR="006648BA">
              <w:rPr>
                <w:rFonts w:ascii="Arial" w:hAnsi="Arial" w:cs="Arial"/>
                <w:sz w:val="20"/>
                <w:szCs w:val="20"/>
              </w:rPr>
              <w:t>.</w:t>
            </w:r>
          </w:p>
          <w:p w:rsidR="008D0A06">
            <w:pPr>
              <w:spacing w:before="60" w:after="60"/>
              <w:jc w:val="both"/>
              <w:rPr>
                <w:rFonts w:ascii="Arial" w:hAnsi="Arial" w:cs="Arial"/>
                <w:sz w:val="20"/>
                <w:szCs w:val="20"/>
              </w:rPr>
            </w:pPr>
            <w:r w:rsidRPr="008D0A06">
              <w:rPr>
                <w:rFonts w:ascii="Arial" w:hAnsi="Arial" w:cs="Arial"/>
                <w:sz w:val="20"/>
                <w:szCs w:val="20"/>
              </w:rPr>
              <w:t>Options will be considered in synergy with the options under the other initiatives announced in the CEAP</w:t>
            </w:r>
            <w:r>
              <w:rPr>
                <w:rFonts w:ascii="Arial" w:hAnsi="Arial" w:cs="Arial"/>
                <w:sz w:val="20"/>
                <w:szCs w:val="20"/>
              </w:rPr>
              <w:t xml:space="preserve"> (in particular the initiative on EU consumer law and the sustainable product policy initiative). </w:t>
            </w:r>
          </w:p>
          <w:p w:rsidR="00814347" w:rsidRPr="009A6FBA">
            <w:pPr>
              <w:spacing w:before="60" w:after="60"/>
              <w:jc w:val="both"/>
              <w:rPr>
                <w:rFonts w:ascii="Arial" w:hAnsi="Arial" w:cs="Arial"/>
                <w:sz w:val="20"/>
                <w:szCs w:val="20"/>
              </w:rPr>
            </w:pPr>
            <w:r w:rsidRPr="009A6FBA">
              <w:rPr>
                <w:rFonts w:ascii="Arial" w:hAnsi="Arial" w:cs="Arial"/>
                <w:sz w:val="20"/>
                <w:szCs w:val="20"/>
              </w:rPr>
              <w:t xml:space="preserve">All options will cover claims made for </w:t>
            </w:r>
            <w:r w:rsidRPr="009A6FBA" w:rsidR="00CD4035">
              <w:rPr>
                <w:rFonts w:ascii="Arial" w:hAnsi="Arial" w:cs="Arial"/>
                <w:sz w:val="20"/>
                <w:szCs w:val="20"/>
              </w:rPr>
              <w:t xml:space="preserve">any of </w:t>
            </w:r>
            <w:r w:rsidRPr="009A6FBA">
              <w:rPr>
                <w:rFonts w:ascii="Arial" w:hAnsi="Arial" w:cs="Arial"/>
                <w:sz w:val="20"/>
                <w:szCs w:val="20"/>
              </w:rPr>
              <w:t>the environmental impacts covered by the Environmental Footprint methods</w:t>
            </w:r>
            <w:r w:rsidRPr="009A6FBA" w:rsidR="006A51C9">
              <w:rPr>
                <w:rFonts w:ascii="Arial" w:hAnsi="Arial" w:cs="Arial"/>
                <w:sz w:val="20"/>
                <w:szCs w:val="20"/>
              </w:rPr>
              <w:t xml:space="preserve"> (initially 16</w:t>
            </w:r>
            <w:r w:rsidR="00291C0E">
              <w:rPr>
                <w:rFonts w:ascii="Arial" w:hAnsi="Arial" w:cs="Arial"/>
                <w:sz w:val="20"/>
                <w:szCs w:val="20"/>
              </w:rPr>
              <w:t>; requirements for claims outside of the scope of the methods would be tackled under the initiative on consumer law</w:t>
            </w:r>
            <w:r w:rsidRPr="009A6FBA" w:rsidR="006A51C9">
              <w:rPr>
                <w:rFonts w:ascii="Arial" w:hAnsi="Arial" w:cs="Arial"/>
                <w:sz w:val="20"/>
                <w:szCs w:val="20"/>
              </w:rPr>
              <w:t>)</w:t>
            </w:r>
            <w:r w:rsidRPr="009A6FBA">
              <w:rPr>
                <w:rFonts w:ascii="Arial" w:hAnsi="Arial" w:cs="Arial"/>
                <w:sz w:val="20"/>
                <w:szCs w:val="20"/>
              </w:rPr>
              <w:t xml:space="preserve">. </w:t>
            </w:r>
            <w:r w:rsidRPr="009A6FBA" w:rsidR="00807C1A">
              <w:rPr>
                <w:rFonts w:ascii="Arial" w:hAnsi="Arial" w:cs="Arial"/>
                <w:sz w:val="20"/>
                <w:szCs w:val="20"/>
              </w:rPr>
              <w:t>All options will include an appropriate framework for certification/ verification of Environmental Footprint pro</w:t>
            </w:r>
            <w:r w:rsidRPr="009A6FBA" w:rsidR="008F2C5A">
              <w:rPr>
                <w:rFonts w:ascii="Arial" w:hAnsi="Arial" w:cs="Arial"/>
                <w:sz w:val="20"/>
                <w:szCs w:val="20"/>
              </w:rPr>
              <w:t>files</w:t>
            </w:r>
            <w:r w:rsidRPr="009A6FBA" w:rsidR="00B75FE2">
              <w:rPr>
                <w:rFonts w:ascii="Arial" w:hAnsi="Arial" w:cs="Arial"/>
                <w:sz w:val="20"/>
                <w:szCs w:val="20"/>
              </w:rPr>
              <w:t xml:space="preserve"> and</w:t>
            </w:r>
            <w:r w:rsidRPr="009A6FBA" w:rsidR="00750BBA">
              <w:rPr>
                <w:rFonts w:ascii="Arial" w:hAnsi="Arial" w:cs="Arial"/>
                <w:sz w:val="20"/>
                <w:szCs w:val="20"/>
              </w:rPr>
              <w:t xml:space="preserve"> monitoring and</w:t>
            </w:r>
            <w:r w:rsidRPr="009A6FBA" w:rsidR="00B75FE2">
              <w:rPr>
                <w:rFonts w:ascii="Arial" w:hAnsi="Arial" w:cs="Arial"/>
                <w:sz w:val="20"/>
                <w:szCs w:val="20"/>
              </w:rPr>
              <w:t xml:space="preserve"> enforcement tools.</w:t>
            </w:r>
          </w:p>
          <w:p w:rsidR="00EE1BE8" w:rsidRPr="009A6FBA">
            <w:pPr>
              <w:spacing w:before="60" w:after="60"/>
              <w:jc w:val="both"/>
              <w:rPr>
                <w:rFonts w:ascii="Arial" w:hAnsi="Arial" w:cs="Arial"/>
                <w:sz w:val="20"/>
                <w:szCs w:val="20"/>
              </w:rPr>
            </w:pPr>
            <w:r w:rsidRPr="009A6FBA">
              <w:rPr>
                <w:rFonts w:ascii="Arial" w:hAnsi="Arial" w:cs="Arial"/>
                <w:sz w:val="20"/>
                <w:szCs w:val="20"/>
              </w:rPr>
              <w:t>S</w:t>
            </w:r>
            <w:r w:rsidRPr="009A6FBA" w:rsidR="00807C1A">
              <w:rPr>
                <w:rFonts w:ascii="Arial" w:hAnsi="Arial" w:cs="Arial"/>
                <w:sz w:val="20"/>
                <w:szCs w:val="20"/>
              </w:rPr>
              <w:t xml:space="preserve">ub-options will consider potential communication requirements in business-to-consumer and business-to-business settings, including </w:t>
            </w:r>
            <w:r w:rsidRPr="009A6FBA" w:rsidR="00B12EB8">
              <w:rPr>
                <w:rFonts w:ascii="Arial" w:hAnsi="Arial" w:cs="Arial"/>
                <w:sz w:val="20"/>
                <w:szCs w:val="20"/>
              </w:rPr>
              <w:t xml:space="preserve">a </w:t>
            </w:r>
            <w:r w:rsidRPr="009A6FBA" w:rsidR="00807C1A">
              <w:rPr>
                <w:rFonts w:ascii="Arial" w:hAnsi="Arial" w:cs="Arial"/>
                <w:sz w:val="20"/>
                <w:szCs w:val="20"/>
              </w:rPr>
              <w:t xml:space="preserve">minimum information content, </w:t>
            </w:r>
            <w:r w:rsidRPr="009A6FBA" w:rsidR="00B12EB8">
              <w:rPr>
                <w:rFonts w:ascii="Arial" w:hAnsi="Arial" w:cs="Arial"/>
                <w:sz w:val="20"/>
                <w:szCs w:val="20"/>
              </w:rPr>
              <w:t xml:space="preserve">or </w:t>
            </w:r>
            <w:r w:rsidRPr="009A6FBA" w:rsidR="00807C1A">
              <w:rPr>
                <w:rFonts w:ascii="Arial" w:hAnsi="Arial" w:cs="Arial"/>
                <w:sz w:val="20"/>
                <w:szCs w:val="20"/>
              </w:rPr>
              <w:t>a common EU format</w:t>
            </w:r>
            <w:r w:rsidRPr="009A6FBA" w:rsidR="008156A8">
              <w:rPr>
                <w:rFonts w:ascii="Arial" w:hAnsi="Arial" w:cs="Arial"/>
                <w:sz w:val="20"/>
                <w:szCs w:val="20"/>
              </w:rPr>
              <w:t xml:space="preserve"> (e.g. an EU label/ logo)</w:t>
            </w:r>
            <w:r w:rsidRPr="009A6FBA" w:rsidR="00B75FE2">
              <w:rPr>
                <w:rFonts w:ascii="Arial" w:hAnsi="Arial" w:cs="Arial"/>
                <w:sz w:val="20"/>
                <w:szCs w:val="20"/>
              </w:rPr>
              <w:t>.</w:t>
            </w:r>
            <w:r w:rsidRPr="009A6FBA" w:rsidR="00750BF1">
              <w:rPr>
                <w:rFonts w:ascii="Arial" w:hAnsi="Arial" w:cs="Arial"/>
                <w:sz w:val="20"/>
                <w:szCs w:val="20"/>
              </w:rPr>
              <w:t xml:space="preserve"> </w:t>
            </w:r>
            <w:r w:rsidR="0083382C">
              <w:rPr>
                <w:rFonts w:ascii="Arial" w:hAnsi="Arial" w:cs="Arial"/>
                <w:sz w:val="20"/>
                <w:szCs w:val="20"/>
              </w:rPr>
              <w:t>The impact assessment</w:t>
            </w:r>
            <w:r w:rsidRPr="009A6FBA" w:rsidR="0083382C">
              <w:rPr>
                <w:rFonts w:ascii="Arial" w:hAnsi="Arial" w:cs="Arial"/>
                <w:sz w:val="20"/>
                <w:szCs w:val="20"/>
              </w:rPr>
              <w:t xml:space="preserve"> </w:t>
            </w:r>
            <w:r w:rsidRPr="009A6FBA" w:rsidR="00AE4F82">
              <w:rPr>
                <w:rFonts w:ascii="Arial" w:hAnsi="Arial" w:cs="Arial"/>
                <w:sz w:val="20"/>
                <w:szCs w:val="20"/>
              </w:rPr>
              <w:t xml:space="preserve">will also </w:t>
            </w:r>
            <w:r w:rsidR="00BE3680">
              <w:rPr>
                <w:rFonts w:ascii="Arial" w:hAnsi="Arial" w:cs="Arial"/>
                <w:sz w:val="20"/>
                <w:szCs w:val="20"/>
              </w:rPr>
              <w:t>assess</w:t>
            </w:r>
            <w:r w:rsidRPr="009A6FBA" w:rsidR="00BE3680">
              <w:rPr>
                <w:rFonts w:ascii="Arial" w:hAnsi="Arial" w:cs="Arial"/>
                <w:sz w:val="20"/>
                <w:szCs w:val="20"/>
              </w:rPr>
              <w:t xml:space="preserve"> </w:t>
            </w:r>
            <w:r w:rsidRPr="009A6FBA" w:rsidR="00AE4F82">
              <w:rPr>
                <w:rFonts w:ascii="Arial" w:hAnsi="Arial" w:cs="Arial"/>
                <w:sz w:val="20"/>
                <w:szCs w:val="20"/>
              </w:rPr>
              <w:t>the ability of the proposed system to deliver reliable and accurate information.</w:t>
            </w:r>
          </w:p>
          <w:p w:rsidR="004B33B3" w:rsidRPr="009A6FBA">
            <w:pPr>
              <w:spacing w:before="60" w:after="60"/>
              <w:jc w:val="both"/>
              <w:rPr>
                <w:rFonts w:ascii="Arial" w:hAnsi="Arial" w:cs="Arial"/>
                <w:sz w:val="20"/>
                <w:szCs w:val="20"/>
              </w:rPr>
            </w:pPr>
            <w:r w:rsidRPr="009A6FBA">
              <w:rPr>
                <w:rFonts w:ascii="Arial" w:hAnsi="Arial" w:cs="Arial"/>
                <w:sz w:val="20"/>
                <w:szCs w:val="20"/>
              </w:rPr>
              <w:t>The impact assessment will consider the need to introduce a way to prioritise the development of product- and sector-specific approaches (PEFCRs and OEFSRs).</w:t>
            </w:r>
          </w:p>
          <w:p w:rsidR="00F04198" w:rsidRPr="009A6FBA" w:rsidP="00F04198">
            <w:pPr>
              <w:spacing w:before="60" w:after="60"/>
              <w:jc w:val="both"/>
              <w:rPr>
                <w:rFonts w:ascii="Arial" w:hAnsi="Arial" w:cs="Arial"/>
                <w:sz w:val="20"/>
                <w:szCs w:val="20"/>
              </w:rPr>
            </w:pPr>
            <w:r w:rsidRPr="009A6FBA">
              <w:rPr>
                <w:rFonts w:ascii="Arial" w:hAnsi="Arial" w:cs="Arial"/>
                <w:sz w:val="20"/>
                <w:szCs w:val="20"/>
              </w:rPr>
              <w:t>It</w:t>
            </w:r>
            <w:r w:rsidRPr="009A6FBA">
              <w:rPr>
                <w:rFonts w:ascii="Arial" w:hAnsi="Arial" w:cs="Arial"/>
                <w:sz w:val="20"/>
                <w:szCs w:val="20"/>
              </w:rPr>
              <w:t xml:space="preserve"> will </w:t>
            </w:r>
            <w:r w:rsidRPr="009A6FBA">
              <w:rPr>
                <w:rFonts w:ascii="Arial" w:hAnsi="Arial" w:cs="Arial"/>
                <w:sz w:val="20"/>
                <w:szCs w:val="20"/>
              </w:rPr>
              <w:t xml:space="preserve">also </w:t>
            </w:r>
            <w:r w:rsidRPr="009A6FBA" w:rsidR="0081227B">
              <w:rPr>
                <w:rFonts w:ascii="Arial" w:hAnsi="Arial" w:cs="Arial"/>
                <w:sz w:val="20"/>
                <w:szCs w:val="20"/>
              </w:rPr>
              <w:t xml:space="preserve">analyse the interactions with </w:t>
            </w:r>
            <w:r w:rsidRPr="009A6FBA">
              <w:rPr>
                <w:rFonts w:ascii="Arial" w:hAnsi="Arial" w:cs="Arial"/>
                <w:sz w:val="20"/>
                <w:szCs w:val="20"/>
              </w:rPr>
              <w:t>existing labels regulated at EU level (e.g. EU Ecolabel, organic label</w:t>
            </w:r>
            <w:r w:rsidRPr="009A6FBA" w:rsidR="00F50172">
              <w:rPr>
                <w:rFonts w:ascii="Arial" w:hAnsi="Arial" w:cs="Arial"/>
                <w:sz w:val="20"/>
                <w:szCs w:val="20"/>
              </w:rPr>
              <w:t>, etc</w:t>
            </w:r>
            <w:r w:rsidRPr="009A6FBA">
              <w:rPr>
                <w:rFonts w:ascii="Arial" w:hAnsi="Arial" w:cs="Arial"/>
                <w:sz w:val="20"/>
                <w:szCs w:val="20"/>
              </w:rPr>
              <w:t xml:space="preserve">) </w:t>
            </w:r>
            <w:r w:rsidRPr="009A6FBA" w:rsidR="001B6616">
              <w:rPr>
                <w:rFonts w:ascii="Arial" w:hAnsi="Arial" w:cs="Arial"/>
                <w:sz w:val="20"/>
                <w:szCs w:val="20"/>
              </w:rPr>
              <w:t xml:space="preserve">and </w:t>
            </w:r>
            <w:r w:rsidRPr="009A6FBA" w:rsidR="003D5DF8">
              <w:rPr>
                <w:rFonts w:ascii="Arial" w:hAnsi="Arial" w:cs="Arial"/>
                <w:sz w:val="20"/>
                <w:szCs w:val="20"/>
              </w:rPr>
              <w:t xml:space="preserve">other environmental labels, including </w:t>
            </w:r>
            <w:r w:rsidRPr="009A6FBA" w:rsidR="00A30356">
              <w:rPr>
                <w:rFonts w:ascii="Arial" w:hAnsi="Arial" w:cs="Arial"/>
                <w:sz w:val="20"/>
                <w:szCs w:val="20"/>
              </w:rPr>
              <w:t>officially recognised ISO 14024 type 1 ecolabels</w:t>
            </w:r>
            <w:r w:rsidRPr="009A6FBA">
              <w:rPr>
                <w:rFonts w:ascii="Arial" w:hAnsi="Arial" w:cs="Arial"/>
                <w:sz w:val="20"/>
                <w:szCs w:val="20"/>
              </w:rPr>
              <w:t xml:space="preserve"> </w:t>
            </w:r>
            <w:r w:rsidRPr="009A6FBA" w:rsidR="0081227B">
              <w:rPr>
                <w:rFonts w:ascii="Arial" w:hAnsi="Arial" w:cs="Arial"/>
                <w:sz w:val="20"/>
                <w:szCs w:val="20"/>
              </w:rPr>
              <w:t xml:space="preserve">at Member State level </w:t>
            </w:r>
            <w:r w:rsidRPr="009A6FBA">
              <w:rPr>
                <w:rFonts w:ascii="Arial" w:hAnsi="Arial" w:cs="Arial"/>
                <w:sz w:val="20"/>
                <w:szCs w:val="20"/>
              </w:rPr>
              <w:t>(e.g. Blue Angel)</w:t>
            </w:r>
            <w:r w:rsidRPr="009A6FBA" w:rsidR="00904468">
              <w:rPr>
                <w:rFonts w:ascii="Arial" w:hAnsi="Arial" w:cs="Arial"/>
                <w:sz w:val="20"/>
                <w:szCs w:val="20"/>
              </w:rPr>
              <w:t>.</w:t>
            </w:r>
            <w:r w:rsidRPr="009A6FBA" w:rsidR="001B6616">
              <w:rPr>
                <w:rFonts w:ascii="Arial" w:hAnsi="Arial" w:cs="Arial"/>
                <w:sz w:val="20"/>
                <w:szCs w:val="20"/>
              </w:rPr>
              <w:t xml:space="preserve"> </w:t>
            </w:r>
          </w:p>
          <w:p w:rsidR="00134C9D" w:rsidRPr="009A6FBA" w:rsidP="00F04198">
            <w:pPr>
              <w:spacing w:before="60" w:after="60"/>
              <w:jc w:val="both"/>
              <w:rPr>
                <w:rFonts w:ascii="Arial" w:hAnsi="Arial" w:cs="Arial"/>
                <w:sz w:val="20"/>
                <w:szCs w:val="20"/>
              </w:rPr>
            </w:pPr>
            <w:r w:rsidRPr="009A6FBA">
              <w:rPr>
                <w:rFonts w:ascii="Arial" w:hAnsi="Arial" w:cs="Arial"/>
                <w:sz w:val="20"/>
                <w:szCs w:val="20"/>
              </w:rPr>
              <w:t xml:space="preserve">The impact assessment will </w:t>
            </w:r>
            <w:r w:rsidRPr="009A6FBA" w:rsidR="00657F19">
              <w:rPr>
                <w:rFonts w:ascii="Arial" w:hAnsi="Arial" w:cs="Arial"/>
                <w:sz w:val="20"/>
                <w:szCs w:val="20"/>
              </w:rPr>
              <w:t>take into account</w:t>
            </w:r>
            <w:r w:rsidRPr="009A6FBA">
              <w:rPr>
                <w:rFonts w:ascii="Arial" w:hAnsi="Arial" w:cs="Arial"/>
                <w:sz w:val="20"/>
                <w:szCs w:val="20"/>
              </w:rPr>
              <w:t xml:space="preserve"> as well the effects of the COVID-19 crisis.</w:t>
            </w:r>
          </w:p>
          <w:p w:rsidR="006D263C" w:rsidRPr="009A6FBA" w:rsidP="006A5E5A">
            <w:pPr>
              <w:spacing w:before="60" w:after="60"/>
              <w:jc w:val="both"/>
              <w:rPr>
                <w:rFonts w:ascii="Arial" w:hAnsi="Arial" w:cs="Arial"/>
                <w:sz w:val="20"/>
                <w:szCs w:val="20"/>
              </w:rPr>
            </w:pPr>
          </w:p>
        </w:tc>
      </w:tr>
      <w:tr w:rsidTr="00203E25">
        <w:tblPrEx>
          <w:tblW w:w="10314" w:type="dxa"/>
          <w:tblLook w:val="01E0"/>
        </w:tblPrEx>
        <w:tc>
          <w:tcPr>
            <w:tcW w:w="10314" w:type="dxa"/>
            <w:tcBorders>
              <w:bottom w:val="single" w:sz="4" w:space="0" w:color="auto"/>
            </w:tcBorders>
            <w:shd w:val="clear" w:color="auto" w:fill="0000FF"/>
          </w:tcPr>
          <w:p w:rsidR="001025E4" w:rsidRPr="009A6FBA" w:rsidP="009F60F0">
            <w:pPr>
              <w:spacing w:before="60" w:after="60"/>
              <w:jc w:val="center"/>
              <w:rPr>
                <w:rFonts w:ascii="Arial" w:hAnsi="Arial" w:cs="Arial"/>
                <w:b/>
                <w:color w:val="FFFFFF"/>
                <w:sz w:val="22"/>
                <w:szCs w:val="22"/>
              </w:rPr>
            </w:pPr>
            <w:r w:rsidRPr="009A6FBA">
              <w:rPr>
                <w:rFonts w:ascii="Arial" w:hAnsi="Arial" w:cs="Arial"/>
                <w:b/>
                <w:color w:val="FFFFFF"/>
                <w:sz w:val="22"/>
                <w:szCs w:val="22"/>
              </w:rPr>
              <w:t>C</w:t>
            </w:r>
            <w:r w:rsidRPr="009A6FBA">
              <w:rPr>
                <w:rFonts w:ascii="Arial" w:hAnsi="Arial" w:cs="Arial"/>
                <w:b/>
                <w:color w:val="FFFFFF"/>
                <w:sz w:val="22"/>
                <w:szCs w:val="22"/>
                <w:highlight w:val="blue"/>
              </w:rPr>
              <w:t>.</w:t>
            </w:r>
            <w:r w:rsidRPr="009A6FBA">
              <w:rPr>
                <w:rFonts w:ascii="Arial" w:hAnsi="Arial" w:cs="Arial"/>
                <w:b/>
                <w:color w:val="FFFFFF"/>
                <w:sz w:val="22"/>
                <w:szCs w:val="22"/>
                <w:highlight w:val="blue"/>
                <w:shd w:val="pct15" w:color="auto" w:fill="FFFFFF"/>
              </w:rPr>
              <w:t xml:space="preserve"> Preliminary Assessment of Expected </w:t>
            </w:r>
            <w:r w:rsidRPr="009A6FBA">
              <w:rPr>
                <w:rFonts w:ascii="Arial" w:hAnsi="Arial" w:cs="Arial"/>
                <w:b/>
                <w:color w:val="FFFFFF"/>
                <w:sz w:val="22"/>
                <w:szCs w:val="22"/>
                <w:highlight w:val="blue"/>
              </w:rPr>
              <w:t>Impacts</w:t>
            </w:r>
          </w:p>
        </w:tc>
      </w:tr>
      <w:tr w:rsidTr="00203E25">
        <w:tblPrEx>
          <w:tblW w:w="10314" w:type="dxa"/>
          <w:tblLook w:val="01E0"/>
        </w:tblPrEx>
        <w:tc>
          <w:tcPr>
            <w:tcW w:w="10314" w:type="dxa"/>
            <w:tcBorders>
              <w:bottom w:val="single" w:sz="4" w:space="0" w:color="auto"/>
            </w:tcBorders>
            <w:shd w:val="clear" w:color="auto" w:fill="FFFFFF"/>
          </w:tcPr>
          <w:p w:rsidR="00DD1078" w:rsidRPr="009A6FBA" w:rsidP="00CA4F38">
            <w:pPr>
              <w:spacing w:before="60" w:after="60"/>
              <w:jc w:val="both"/>
              <w:rPr>
                <w:rFonts w:ascii="Arial" w:hAnsi="Arial" w:cs="Arial"/>
                <w:color w:val="00B050"/>
                <w:sz w:val="20"/>
                <w:szCs w:val="20"/>
              </w:rPr>
            </w:pPr>
          </w:p>
        </w:tc>
      </w:tr>
      <w:tr w:rsidTr="00203E25">
        <w:tblPrEx>
          <w:tblW w:w="10314" w:type="dxa"/>
          <w:tblLook w:val="01E0"/>
        </w:tblPrEx>
        <w:tc>
          <w:tcPr>
            <w:tcW w:w="10314" w:type="dxa"/>
            <w:tcBorders>
              <w:bottom w:val="single" w:sz="4" w:space="0" w:color="auto"/>
            </w:tcBorders>
            <w:shd w:val="clear" w:color="auto" w:fill="E6E6E6"/>
          </w:tcPr>
          <w:p w:rsidR="00C9010B" w:rsidRPr="009A6FBA" w:rsidP="00BC66A8">
            <w:pPr>
              <w:spacing w:before="60"/>
              <w:jc w:val="both"/>
              <w:rPr>
                <w:rFonts w:ascii="Arial" w:hAnsi="Arial" w:cs="Arial"/>
                <w:b/>
                <w:sz w:val="20"/>
                <w:szCs w:val="20"/>
              </w:rPr>
            </w:pPr>
            <w:r w:rsidRPr="009A6FBA">
              <w:rPr>
                <w:rFonts w:ascii="Arial" w:hAnsi="Arial" w:cs="Arial"/>
                <w:b/>
                <w:sz w:val="20"/>
                <w:szCs w:val="20"/>
              </w:rPr>
              <w:t>L</w:t>
            </w:r>
            <w:r w:rsidRPr="009A6FBA">
              <w:rPr>
                <w:rFonts w:ascii="Arial" w:hAnsi="Arial" w:cs="Arial"/>
                <w:b/>
                <w:sz w:val="20"/>
                <w:szCs w:val="20"/>
              </w:rPr>
              <w:t>ikely economic impacts</w:t>
            </w:r>
          </w:p>
        </w:tc>
      </w:tr>
      <w:tr w:rsidTr="00203E25">
        <w:tblPrEx>
          <w:tblW w:w="10314" w:type="dxa"/>
          <w:tblLook w:val="01E0"/>
        </w:tblPrEx>
        <w:tc>
          <w:tcPr>
            <w:tcW w:w="10314" w:type="dxa"/>
            <w:shd w:val="clear" w:color="auto" w:fill="auto"/>
          </w:tcPr>
          <w:p w:rsidR="00634371" w:rsidRPr="009A6FBA" w:rsidP="00B81DF0">
            <w:pPr>
              <w:pStyle w:val="Default"/>
              <w:jc w:val="both"/>
              <w:rPr>
                <w:rFonts w:ascii="Arial" w:hAnsi="Arial" w:cs="Arial"/>
                <w:sz w:val="20"/>
                <w:szCs w:val="20"/>
                <w:lang w:val="en-GB"/>
              </w:rPr>
            </w:pPr>
            <w:r w:rsidRPr="009A6FBA">
              <w:rPr>
                <w:rFonts w:ascii="Arial" w:hAnsi="Arial" w:cs="Arial"/>
                <w:sz w:val="20"/>
                <w:szCs w:val="20"/>
                <w:lang w:val="en-IE"/>
              </w:rPr>
              <w:t>The initiative could have positive e</w:t>
            </w:r>
            <w:r w:rsidRPr="009A6FBA" w:rsidR="003A7D21">
              <w:rPr>
                <w:rFonts w:ascii="Arial" w:hAnsi="Arial" w:cs="Arial"/>
                <w:sz w:val="20"/>
                <w:szCs w:val="20"/>
                <w:lang w:val="en-IE"/>
              </w:rPr>
              <w:t xml:space="preserve">conomic impacts </w:t>
            </w:r>
            <w:r w:rsidRPr="009A6FBA">
              <w:rPr>
                <w:rFonts w:ascii="Arial" w:hAnsi="Arial" w:cs="Arial"/>
                <w:sz w:val="20"/>
                <w:szCs w:val="20"/>
                <w:lang w:val="en-GB"/>
              </w:rPr>
              <w:t>through supporting</w:t>
            </w:r>
            <w:r w:rsidRPr="009A6FBA" w:rsidR="003A7D21">
              <w:rPr>
                <w:rFonts w:ascii="Arial" w:hAnsi="Arial" w:cs="Arial"/>
                <w:sz w:val="20"/>
                <w:szCs w:val="20"/>
                <w:lang w:val="en-IE"/>
              </w:rPr>
              <w:t xml:space="preserve"> growth</w:t>
            </w:r>
            <w:r w:rsidRPr="009A6FBA">
              <w:rPr>
                <w:rFonts w:ascii="Arial" w:hAnsi="Arial" w:cs="Arial"/>
                <w:sz w:val="20"/>
                <w:szCs w:val="20"/>
                <w:lang w:val="en-GB"/>
              </w:rPr>
              <w:t xml:space="preserve"> and fair competition</w:t>
            </w:r>
            <w:r w:rsidRPr="009A6FBA" w:rsidR="003A7D21">
              <w:rPr>
                <w:rFonts w:ascii="Arial" w:hAnsi="Arial" w:cs="Arial"/>
                <w:sz w:val="20"/>
                <w:szCs w:val="20"/>
                <w:lang w:val="en-IE"/>
              </w:rPr>
              <w:t xml:space="preserve"> </w:t>
            </w:r>
            <w:r w:rsidRPr="009A6FBA">
              <w:rPr>
                <w:rFonts w:ascii="Arial" w:hAnsi="Arial" w:cs="Arial"/>
                <w:sz w:val="20"/>
                <w:szCs w:val="20"/>
                <w:lang w:val="en-IE"/>
              </w:rPr>
              <w:t xml:space="preserve">in </w:t>
            </w:r>
            <w:r w:rsidRPr="009A6FBA" w:rsidR="003A7D21">
              <w:rPr>
                <w:rFonts w:ascii="Arial" w:hAnsi="Arial" w:cs="Arial"/>
                <w:sz w:val="20"/>
                <w:szCs w:val="20"/>
                <w:lang w:val="en-IE"/>
              </w:rPr>
              <w:t>green markets</w:t>
            </w:r>
            <w:r w:rsidRPr="009A6FBA">
              <w:rPr>
                <w:rFonts w:ascii="Arial" w:hAnsi="Arial" w:cs="Arial"/>
                <w:sz w:val="20"/>
                <w:szCs w:val="20"/>
                <w:lang w:val="en-IE"/>
              </w:rPr>
              <w:t xml:space="preserve">. </w:t>
            </w:r>
            <w:r w:rsidRPr="009A6FBA" w:rsidR="00EC7496">
              <w:rPr>
                <w:rFonts w:ascii="Arial" w:hAnsi="Arial" w:cs="Arial"/>
                <w:sz w:val="20"/>
                <w:szCs w:val="20"/>
                <w:lang w:val="en-IE"/>
              </w:rPr>
              <w:t xml:space="preserve">For companies that are already making green claims, </w:t>
            </w:r>
            <w:r w:rsidRPr="009A6FBA" w:rsidR="00EC7496">
              <w:rPr>
                <w:rFonts w:ascii="Arial" w:hAnsi="Arial" w:cs="Arial"/>
                <w:sz w:val="20"/>
                <w:szCs w:val="20"/>
                <w:lang w:val="en-GB"/>
              </w:rPr>
              <w:t>i</w:t>
            </w:r>
            <w:r w:rsidRPr="009A6FBA">
              <w:rPr>
                <w:rFonts w:ascii="Arial" w:hAnsi="Arial" w:cs="Arial"/>
                <w:sz w:val="20"/>
                <w:szCs w:val="20"/>
                <w:lang w:val="en-GB"/>
              </w:rPr>
              <w:t>t should reduce the overall costs, by reducing the need to apply multiple methods</w:t>
            </w:r>
            <w:r>
              <w:rPr>
                <w:rStyle w:val="FootnoteReference"/>
                <w:rFonts w:ascii="Arial" w:hAnsi="Arial" w:cs="Arial"/>
                <w:sz w:val="20"/>
                <w:szCs w:val="20"/>
                <w:lang w:val="en-GB"/>
              </w:rPr>
              <w:footnoteReference w:id="16"/>
            </w:r>
            <w:r w:rsidRPr="009A6FBA" w:rsidR="00750BBA">
              <w:rPr>
                <w:rFonts w:ascii="Arial" w:hAnsi="Arial" w:cs="Arial"/>
                <w:sz w:val="20"/>
                <w:szCs w:val="20"/>
                <w:lang w:val="en-GB"/>
              </w:rPr>
              <w:t>, even if applying this new method will entail initial costs</w:t>
            </w:r>
            <w:r w:rsidRPr="009A6FBA" w:rsidR="00904468">
              <w:rPr>
                <w:rFonts w:ascii="Arial" w:hAnsi="Arial" w:cs="Arial"/>
                <w:sz w:val="20"/>
                <w:szCs w:val="20"/>
                <w:lang w:val="en-GB"/>
              </w:rPr>
              <w:t>.</w:t>
            </w:r>
            <w:r w:rsidRPr="009A6FBA" w:rsidR="002A2E75">
              <w:rPr>
                <w:rFonts w:ascii="Arial" w:hAnsi="Arial" w:cs="Arial"/>
                <w:sz w:val="20"/>
                <w:szCs w:val="20"/>
                <w:lang w:val="en-GB"/>
              </w:rPr>
              <w:t xml:space="preserve"> </w:t>
            </w:r>
            <w:r w:rsidRPr="009A6FBA" w:rsidR="00521C72">
              <w:rPr>
                <w:rFonts w:ascii="Arial" w:hAnsi="Arial" w:cs="Arial"/>
                <w:sz w:val="20"/>
                <w:szCs w:val="20"/>
                <w:lang w:val="en-GB"/>
              </w:rPr>
              <w:t>This is particularly true for companies trading cross-border</w:t>
            </w:r>
            <w:r w:rsidRPr="009A6FBA" w:rsidR="0091093F">
              <w:rPr>
                <w:rFonts w:ascii="Arial" w:hAnsi="Arial" w:cs="Arial"/>
                <w:sz w:val="20"/>
                <w:szCs w:val="20"/>
                <w:lang w:val="en-GB"/>
              </w:rPr>
              <w:t>:</w:t>
            </w:r>
            <w:r w:rsidRPr="009A6FBA" w:rsidR="00521C72">
              <w:rPr>
                <w:rFonts w:ascii="Arial" w:hAnsi="Arial" w:cs="Arial"/>
                <w:sz w:val="20"/>
                <w:szCs w:val="20"/>
                <w:lang w:val="en-GB"/>
              </w:rPr>
              <w:t xml:space="preserve"> </w:t>
            </w:r>
            <w:r w:rsidRPr="009A6FBA" w:rsidR="0091093F">
              <w:rPr>
                <w:rFonts w:ascii="Arial" w:hAnsi="Arial" w:cs="Arial"/>
                <w:sz w:val="20"/>
                <w:szCs w:val="20"/>
                <w:lang w:val="en-GB"/>
              </w:rPr>
              <w:t xml:space="preserve">it will provide a level playing field for competing based on environmental performance for all products sold on the EU markets. </w:t>
            </w:r>
            <w:r w:rsidRPr="009A6FBA">
              <w:rPr>
                <w:rFonts w:ascii="Arial" w:hAnsi="Arial" w:cs="Arial"/>
                <w:sz w:val="20"/>
                <w:szCs w:val="20"/>
                <w:lang w:val="en-GB"/>
              </w:rPr>
              <w:t>The impact assessment will look into impacts on competitiveness outside the EU.</w:t>
            </w:r>
          </w:p>
          <w:p w:rsidR="00720C7B" w:rsidRPr="009A6FBA" w:rsidP="00B81DF0">
            <w:pPr>
              <w:pStyle w:val="Default"/>
              <w:jc w:val="both"/>
              <w:rPr>
                <w:rFonts w:ascii="Arial" w:hAnsi="Arial" w:cs="Arial"/>
                <w:sz w:val="20"/>
                <w:szCs w:val="20"/>
                <w:lang w:val="en-IE"/>
              </w:rPr>
            </w:pPr>
            <w:r w:rsidRPr="009A6FBA">
              <w:rPr>
                <w:rFonts w:ascii="Arial" w:hAnsi="Arial" w:cs="Arial"/>
                <w:sz w:val="20"/>
                <w:szCs w:val="20"/>
                <w:lang w:val="en-GB"/>
              </w:rPr>
              <w:t xml:space="preserve">The increased harmonisation </w:t>
            </w:r>
            <w:r w:rsidRPr="009A6FBA" w:rsidR="00750BBA">
              <w:rPr>
                <w:rFonts w:ascii="Arial" w:hAnsi="Arial" w:cs="Arial"/>
                <w:sz w:val="20"/>
                <w:szCs w:val="20"/>
                <w:lang w:val="en-GB"/>
              </w:rPr>
              <w:t xml:space="preserve">may </w:t>
            </w:r>
            <w:r w:rsidRPr="009A6FBA">
              <w:rPr>
                <w:rFonts w:ascii="Arial" w:hAnsi="Arial" w:cs="Arial"/>
                <w:sz w:val="20"/>
                <w:szCs w:val="20"/>
                <w:lang w:val="en-GB"/>
              </w:rPr>
              <w:t>be beneficial for SMEs</w:t>
            </w:r>
            <w:r w:rsidRPr="009A6FBA" w:rsidR="00750BBA">
              <w:rPr>
                <w:rFonts w:ascii="Arial" w:hAnsi="Arial" w:cs="Arial"/>
                <w:sz w:val="20"/>
                <w:szCs w:val="20"/>
                <w:lang w:val="en-GB"/>
              </w:rPr>
              <w:t xml:space="preserve"> as they would need to comply anymore with a multitude of methods</w:t>
            </w:r>
            <w:r w:rsidRPr="009A6FBA" w:rsidR="0065745D">
              <w:rPr>
                <w:rFonts w:ascii="Arial" w:hAnsi="Arial" w:cs="Arial"/>
                <w:sz w:val="20"/>
                <w:szCs w:val="20"/>
                <w:lang w:val="en-GB"/>
              </w:rPr>
              <w:t>.</w:t>
            </w:r>
            <w:r w:rsidRPr="009A6FBA" w:rsidR="007A7A53">
              <w:rPr>
                <w:rFonts w:ascii="Arial" w:hAnsi="Arial" w:cs="Arial"/>
                <w:sz w:val="20"/>
                <w:szCs w:val="20"/>
                <w:lang w:val="en-IE"/>
              </w:rPr>
              <w:t xml:space="preserve"> </w:t>
            </w:r>
            <w:r w:rsidRPr="009A6FBA" w:rsidR="0065745D">
              <w:rPr>
                <w:rFonts w:ascii="Arial" w:hAnsi="Arial" w:cs="Arial"/>
                <w:sz w:val="20"/>
                <w:szCs w:val="20"/>
                <w:lang w:val="en-IE"/>
              </w:rPr>
              <w:t>T</w:t>
            </w:r>
            <w:r w:rsidRPr="009A6FBA" w:rsidR="00F24E91">
              <w:rPr>
                <w:rFonts w:ascii="Arial" w:hAnsi="Arial" w:cs="Arial"/>
                <w:sz w:val="20"/>
                <w:szCs w:val="20"/>
                <w:lang w:val="en-IE"/>
              </w:rPr>
              <w:t xml:space="preserve">he impact assessment will consider </w:t>
            </w:r>
            <w:r w:rsidRPr="009A6FBA">
              <w:rPr>
                <w:rFonts w:ascii="Arial" w:hAnsi="Arial" w:cs="Arial"/>
                <w:sz w:val="20"/>
                <w:szCs w:val="20"/>
                <w:lang w:val="en-IE"/>
              </w:rPr>
              <w:t xml:space="preserve">if any support actions or specific provisions </w:t>
            </w:r>
            <w:r w:rsidRPr="009A6FBA" w:rsidR="00C908B7">
              <w:rPr>
                <w:rFonts w:ascii="Arial" w:hAnsi="Arial" w:cs="Arial"/>
                <w:sz w:val="20"/>
                <w:szCs w:val="20"/>
                <w:lang w:val="en-IE"/>
              </w:rPr>
              <w:t>are necessary</w:t>
            </w:r>
            <w:r w:rsidRPr="009A6FBA">
              <w:rPr>
                <w:rFonts w:ascii="Arial" w:hAnsi="Arial" w:cs="Arial"/>
                <w:sz w:val="20"/>
                <w:szCs w:val="20"/>
                <w:lang w:val="en-IE"/>
              </w:rPr>
              <w:t xml:space="preserve">. </w:t>
            </w:r>
          </w:p>
          <w:p w:rsidR="005630FB" w:rsidRPr="009A6FBA" w:rsidP="00B81DF0">
            <w:pPr>
              <w:pStyle w:val="Default"/>
              <w:jc w:val="both"/>
              <w:rPr>
                <w:rFonts w:ascii="Arial" w:hAnsi="Arial" w:cs="Arial"/>
                <w:sz w:val="20"/>
                <w:szCs w:val="20"/>
                <w:lang w:val="en-IE"/>
              </w:rPr>
            </w:pPr>
            <w:r w:rsidRPr="009A6FBA">
              <w:rPr>
                <w:rFonts w:ascii="Arial" w:hAnsi="Arial" w:cs="Arial"/>
                <w:sz w:val="20"/>
                <w:szCs w:val="20"/>
                <w:lang w:val="en-IE"/>
              </w:rPr>
              <w:t xml:space="preserve">The initiative should </w:t>
            </w:r>
            <w:r w:rsidRPr="009A6FBA" w:rsidR="00750BBA">
              <w:rPr>
                <w:rFonts w:ascii="Arial" w:hAnsi="Arial" w:cs="Arial"/>
                <w:sz w:val="20"/>
                <w:szCs w:val="20"/>
                <w:lang w:val="en-IE"/>
              </w:rPr>
              <w:t>improve</w:t>
            </w:r>
            <w:r w:rsidRPr="009A6FBA">
              <w:rPr>
                <w:rFonts w:ascii="Arial" w:hAnsi="Arial" w:cs="Arial"/>
                <w:sz w:val="20"/>
                <w:szCs w:val="20"/>
                <w:lang w:val="en-IE"/>
              </w:rPr>
              <w:t xml:space="preserve"> the availability and reliability of </w:t>
            </w:r>
            <w:r w:rsidRPr="009A6FBA" w:rsidR="00750BBA">
              <w:rPr>
                <w:rFonts w:ascii="Arial" w:hAnsi="Arial" w:cs="Arial"/>
                <w:sz w:val="20"/>
                <w:szCs w:val="20"/>
                <w:lang w:val="en-IE"/>
              </w:rPr>
              <w:t xml:space="preserve">green </w:t>
            </w:r>
            <w:r w:rsidRPr="009A6FBA">
              <w:rPr>
                <w:rFonts w:ascii="Arial" w:hAnsi="Arial" w:cs="Arial"/>
                <w:sz w:val="20"/>
                <w:szCs w:val="20"/>
                <w:lang w:val="en-IE"/>
              </w:rPr>
              <w:t>claims</w:t>
            </w:r>
            <w:r w:rsidRPr="009A6FBA" w:rsidR="00750BBA">
              <w:rPr>
                <w:rFonts w:ascii="Arial" w:hAnsi="Arial" w:cs="Arial"/>
                <w:sz w:val="20"/>
                <w:szCs w:val="20"/>
                <w:lang w:val="en-IE"/>
              </w:rPr>
              <w:t>, with no major direct impacts on prices or availability of products in general</w:t>
            </w:r>
            <w:r w:rsidRPr="009A6FBA">
              <w:rPr>
                <w:rFonts w:ascii="Arial" w:hAnsi="Arial" w:cs="Arial"/>
                <w:sz w:val="20"/>
                <w:szCs w:val="20"/>
                <w:lang w:val="en-IE"/>
              </w:rPr>
              <w:t xml:space="preserve">. </w:t>
            </w:r>
          </w:p>
          <w:p w:rsidR="003A7D21" w:rsidRPr="009A6FBA" w:rsidP="007E1BFF">
            <w:pPr>
              <w:pStyle w:val="Default"/>
              <w:jc w:val="both"/>
              <w:rPr>
                <w:rFonts w:ascii="Arial" w:hAnsi="Arial" w:cs="Arial"/>
                <w:lang w:val="en-GB"/>
              </w:rPr>
            </w:pPr>
            <w:r w:rsidRPr="009A6FBA">
              <w:rPr>
                <w:rFonts w:ascii="Arial" w:hAnsi="Arial" w:cs="Arial"/>
                <w:sz w:val="20"/>
                <w:szCs w:val="20"/>
                <w:lang w:val="en-GB"/>
              </w:rPr>
              <w:t xml:space="preserve">The impact assessment will carefully consider the WTO compliance of the different options. </w:t>
            </w:r>
            <w:r w:rsidRPr="009A6FBA" w:rsidR="007E1BFF">
              <w:rPr>
                <w:rFonts w:ascii="Arial" w:hAnsi="Arial" w:cs="Arial"/>
                <w:sz w:val="20"/>
                <w:szCs w:val="20"/>
                <w:lang w:val="en-IE"/>
              </w:rPr>
              <w:t>For example, any labelling/information tool option put forward under this initiative should result in no less favourable treatment of imported products compared with EU produced goods. Likewise, the options will be vetted beforehand to ensure that they are no more trade-restrictive than necessary to fulfil a legitimate environmental objective (climate change, biodiversity and other relevant environmental impacts).</w:t>
            </w:r>
          </w:p>
        </w:tc>
      </w:tr>
      <w:tr w:rsidTr="00203E25">
        <w:tblPrEx>
          <w:tblW w:w="10314" w:type="dxa"/>
          <w:tblLook w:val="01E0"/>
        </w:tblPrEx>
        <w:tc>
          <w:tcPr>
            <w:tcW w:w="10314" w:type="dxa"/>
            <w:tcBorders>
              <w:bottom w:val="single" w:sz="4" w:space="0" w:color="auto"/>
            </w:tcBorders>
            <w:shd w:val="clear" w:color="auto" w:fill="E6E6E6"/>
          </w:tcPr>
          <w:p w:rsidR="00C9010B" w:rsidRPr="009A6FBA" w:rsidP="00BC66A8">
            <w:pPr>
              <w:spacing w:before="60"/>
              <w:jc w:val="both"/>
              <w:rPr>
                <w:rFonts w:ascii="Arial" w:hAnsi="Arial" w:cs="Arial"/>
                <w:b/>
                <w:sz w:val="20"/>
                <w:szCs w:val="20"/>
              </w:rPr>
            </w:pPr>
            <w:r w:rsidRPr="009A6FBA">
              <w:rPr>
                <w:rFonts w:ascii="Arial" w:hAnsi="Arial" w:cs="Arial"/>
                <w:b/>
                <w:sz w:val="20"/>
                <w:szCs w:val="20"/>
              </w:rPr>
              <w:t>L</w:t>
            </w:r>
            <w:r w:rsidRPr="009A6FBA">
              <w:rPr>
                <w:rFonts w:ascii="Arial" w:hAnsi="Arial" w:cs="Arial"/>
                <w:b/>
                <w:sz w:val="20"/>
                <w:szCs w:val="20"/>
              </w:rPr>
              <w:t>ikely social</w:t>
            </w:r>
            <w:r w:rsidRPr="009A6FBA">
              <w:rPr>
                <w:rFonts w:ascii="Arial" w:hAnsi="Arial" w:cs="Arial"/>
                <w:b/>
                <w:sz w:val="20"/>
                <w:szCs w:val="20"/>
              </w:rPr>
              <w:t xml:space="preserve"> impacts</w:t>
            </w:r>
          </w:p>
        </w:tc>
      </w:tr>
      <w:tr w:rsidTr="00203E25">
        <w:tblPrEx>
          <w:tblW w:w="10314" w:type="dxa"/>
          <w:tblLook w:val="01E0"/>
        </w:tblPrEx>
        <w:tc>
          <w:tcPr>
            <w:tcW w:w="10314" w:type="dxa"/>
            <w:tcBorders>
              <w:bottom w:val="single" w:sz="4" w:space="0" w:color="auto"/>
            </w:tcBorders>
            <w:shd w:val="clear" w:color="auto" w:fill="auto"/>
          </w:tcPr>
          <w:p w:rsidR="00C57B32" w:rsidRPr="009A6FBA" w:rsidP="006D276E">
            <w:pPr>
              <w:spacing w:after="60"/>
              <w:jc w:val="both"/>
              <w:rPr>
                <w:rFonts w:ascii="Arial" w:hAnsi="Arial" w:cs="Arial"/>
                <w:i/>
                <w:color w:val="00B050"/>
                <w:sz w:val="20"/>
                <w:szCs w:val="20"/>
              </w:rPr>
            </w:pPr>
            <w:r w:rsidRPr="009A6FBA">
              <w:rPr>
                <w:rFonts w:ascii="Arial" w:hAnsi="Arial" w:cs="Arial"/>
                <w:sz w:val="20"/>
                <w:szCs w:val="20"/>
              </w:rPr>
              <w:t xml:space="preserve">In terms of employment, </w:t>
            </w:r>
            <w:r w:rsidRPr="009A6FBA" w:rsidR="00395894">
              <w:rPr>
                <w:rFonts w:ascii="Arial" w:hAnsi="Arial" w:cs="Arial"/>
                <w:sz w:val="20"/>
                <w:szCs w:val="20"/>
              </w:rPr>
              <w:t xml:space="preserve">the impact assessment will consider potential effects on jobs across sectors. More reliable green claims are expected to facilitate the deployment of green products, which could in turn contribute to </w:t>
            </w:r>
            <w:r w:rsidRPr="009A6FBA">
              <w:rPr>
                <w:rFonts w:ascii="Arial" w:hAnsi="Arial" w:cs="Arial"/>
                <w:sz w:val="20"/>
                <w:szCs w:val="20"/>
              </w:rPr>
              <w:t>a growth in green jobs</w:t>
            </w:r>
            <w:r w:rsidRPr="009A6FBA" w:rsidR="00395894">
              <w:rPr>
                <w:rFonts w:ascii="Arial" w:hAnsi="Arial" w:cs="Arial"/>
                <w:sz w:val="20"/>
                <w:szCs w:val="20"/>
              </w:rPr>
              <w:t>.</w:t>
            </w:r>
            <w:r w:rsidRPr="009A6FBA" w:rsidR="008A39E7">
              <w:rPr>
                <w:rFonts w:ascii="Arial" w:hAnsi="Arial" w:cs="Arial"/>
                <w:sz w:val="20"/>
                <w:szCs w:val="20"/>
              </w:rPr>
              <w:t xml:space="preserve"> </w:t>
            </w:r>
            <w:r w:rsidRPr="009A6FBA" w:rsidR="0065745D">
              <w:rPr>
                <w:rFonts w:ascii="Arial" w:hAnsi="Arial" w:cs="Arial"/>
                <w:sz w:val="20"/>
                <w:szCs w:val="20"/>
              </w:rPr>
              <w:t>Citizens</w:t>
            </w:r>
            <w:r w:rsidRPr="009A6FBA" w:rsidR="002A2E75">
              <w:rPr>
                <w:rFonts w:ascii="Arial" w:hAnsi="Arial" w:cs="Arial"/>
                <w:sz w:val="20"/>
                <w:szCs w:val="20"/>
              </w:rPr>
              <w:t xml:space="preserve"> will benefit from having clearer information presented to them. </w:t>
            </w:r>
            <w:r w:rsidRPr="009A6FBA" w:rsidR="0065745D">
              <w:rPr>
                <w:rFonts w:ascii="Arial" w:hAnsi="Arial" w:cs="Arial"/>
                <w:sz w:val="20"/>
                <w:szCs w:val="20"/>
              </w:rPr>
              <w:t>There could be some social impacts as environmental impacts often translate into health impacts.</w:t>
            </w:r>
          </w:p>
        </w:tc>
      </w:tr>
      <w:tr w:rsidTr="00203E25">
        <w:tblPrEx>
          <w:tblW w:w="10314" w:type="dxa"/>
          <w:tblLook w:val="01E0"/>
        </w:tblPrEx>
        <w:tc>
          <w:tcPr>
            <w:tcW w:w="10314" w:type="dxa"/>
            <w:tcBorders>
              <w:bottom w:val="single" w:sz="4" w:space="0" w:color="auto"/>
            </w:tcBorders>
            <w:shd w:val="clear" w:color="auto" w:fill="E6E6E6"/>
          </w:tcPr>
          <w:p w:rsidR="00C9010B" w:rsidRPr="009A6FBA" w:rsidP="00BC66A8">
            <w:pPr>
              <w:spacing w:before="60"/>
              <w:jc w:val="both"/>
              <w:rPr>
                <w:rFonts w:ascii="Arial" w:hAnsi="Arial" w:cs="Arial"/>
                <w:b/>
                <w:sz w:val="20"/>
                <w:szCs w:val="20"/>
              </w:rPr>
            </w:pPr>
            <w:r w:rsidRPr="009A6FBA">
              <w:rPr>
                <w:rFonts w:ascii="Arial" w:hAnsi="Arial" w:cs="Arial"/>
                <w:b/>
                <w:sz w:val="20"/>
                <w:szCs w:val="20"/>
              </w:rPr>
              <w:t>Likely</w:t>
            </w:r>
            <w:r w:rsidRPr="009A6FBA">
              <w:rPr>
                <w:rFonts w:ascii="Arial" w:hAnsi="Arial" w:cs="Arial"/>
                <w:b/>
                <w:sz w:val="20"/>
                <w:szCs w:val="20"/>
              </w:rPr>
              <w:t xml:space="preserve"> environmental impacts</w:t>
            </w:r>
          </w:p>
        </w:tc>
      </w:tr>
      <w:tr w:rsidTr="00203E25">
        <w:tblPrEx>
          <w:tblW w:w="10314" w:type="dxa"/>
          <w:tblLook w:val="01E0"/>
        </w:tblPrEx>
        <w:tc>
          <w:tcPr>
            <w:tcW w:w="10314" w:type="dxa"/>
            <w:tcBorders>
              <w:bottom w:val="single" w:sz="4" w:space="0" w:color="auto"/>
            </w:tcBorders>
            <w:shd w:val="clear" w:color="auto" w:fill="auto"/>
          </w:tcPr>
          <w:p w:rsidR="00400E46" w:rsidRPr="009A6FBA" w:rsidP="006D276E">
            <w:pPr>
              <w:jc w:val="both"/>
              <w:rPr>
                <w:rFonts w:ascii="Arial" w:hAnsi="Arial" w:cs="Arial"/>
                <w:i/>
                <w:color w:val="00B050"/>
                <w:sz w:val="20"/>
                <w:szCs w:val="20"/>
              </w:rPr>
            </w:pPr>
            <w:r w:rsidRPr="009A6FBA">
              <w:rPr>
                <w:rFonts w:ascii="Arial" w:hAnsi="Arial" w:cs="Arial"/>
                <w:sz w:val="20"/>
                <w:szCs w:val="20"/>
              </w:rPr>
              <w:t>The initiative should lead to a better overall environmental performance of businesses and consumption</w:t>
            </w:r>
            <w:r w:rsidRPr="009A6FBA" w:rsidR="008156A8">
              <w:rPr>
                <w:rFonts w:ascii="Arial" w:hAnsi="Arial" w:cs="Arial"/>
                <w:sz w:val="20"/>
                <w:szCs w:val="20"/>
              </w:rPr>
              <w:t xml:space="preserve"> and to circular economy benefits</w:t>
            </w:r>
            <w:r w:rsidRPr="009A6FBA">
              <w:rPr>
                <w:rFonts w:ascii="Arial" w:hAnsi="Arial" w:cs="Arial"/>
                <w:sz w:val="20"/>
                <w:szCs w:val="20"/>
              </w:rPr>
              <w:t xml:space="preserve">. </w:t>
            </w:r>
            <w:r w:rsidRPr="009A6FBA" w:rsidR="00BA777E">
              <w:rPr>
                <w:rFonts w:ascii="Arial" w:hAnsi="Arial" w:cs="Arial"/>
                <w:sz w:val="20"/>
                <w:szCs w:val="20"/>
              </w:rPr>
              <w:t xml:space="preserve">It will contribute to reaching EU 2030 and 2050 targets on climate change. </w:t>
            </w:r>
            <w:r w:rsidRPr="009A6FBA" w:rsidR="00467D35">
              <w:rPr>
                <w:rFonts w:ascii="Arial" w:hAnsi="Arial" w:cs="Arial"/>
                <w:sz w:val="20"/>
                <w:szCs w:val="20"/>
              </w:rPr>
              <w:t>These impacts are expected due to the positive effects of a level playing field for competing on environmental performance</w:t>
            </w:r>
            <w:r w:rsidRPr="009A6FBA" w:rsidR="004F75F5">
              <w:rPr>
                <w:rFonts w:ascii="Arial" w:hAnsi="Arial" w:cs="Arial"/>
                <w:sz w:val="20"/>
                <w:szCs w:val="20"/>
              </w:rPr>
              <w:t>, including clear rules on the role of carbon offsets</w:t>
            </w:r>
            <w:r w:rsidRPr="009A6FBA" w:rsidR="00563496">
              <w:rPr>
                <w:rFonts w:ascii="Arial" w:hAnsi="Arial" w:cs="Arial"/>
                <w:sz w:val="20"/>
                <w:szCs w:val="20"/>
              </w:rPr>
              <w:t xml:space="preserve">. We expect that this will trigger </w:t>
            </w:r>
            <w:r w:rsidRPr="009A6FBA" w:rsidR="00BA777E">
              <w:rPr>
                <w:rFonts w:ascii="Arial" w:hAnsi="Arial" w:cs="Arial"/>
                <w:sz w:val="20"/>
                <w:szCs w:val="20"/>
              </w:rPr>
              <w:t>improvements in the 16 environmental impacts covered</w:t>
            </w:r>
            <w:r w:rsidRPr="009A6FBA" w:rsidR="00563496">
              <w:rPr>
                <w:rFonts w:ascii="Arial" w:hAnsi="Arial" w:cs="Arial"/>
                <w:sz w:val="20"/>
                <w:szCs w:val="20"/>
              </w:rPr>
              <w:t xml:space="preserve"> </w:t>
            </w:r>
            <w:r w:rsidRPr="009A6FBA" w:rsidR="000C5745">
              <w:rPr>
                <w:rFonts w:ascii="Arial" w:hAnsi="Arial" w:cs="Arial"/>
                <w:sz w:val="20"/>
                <w:szCs w:val="20"/>
              </w:rPr>
              <w:t>(“race to the top”)</w:t>
            </w:r>
            <w:r w:rsidRPr="009A6FBA" w:rsidR="0065745D">
              <w:rPr>
                <w:rFonts w:ascii="Arial" w:hAnsi="Arial" w:cs="Arial"/>
                <w:sz w:val="20"/>
                <w:szCs w:val="20"/>
              </w:rPr>
              <w:t>,</w:t>
            </w:r>
            <w:r w:rsidRPr="009A6FBA" w:rsidR="000C5745">
              <w:rPr>
                <w:rFonts w:ascii="Arial" w:hAnsi="Arial" w:cs="Arial"/>
                <w:sz w:val="20"/>
                <w:szCs w:val="20"/>
              </w:rPr>
              <w:t xml:space="preserve"> that the requirements would lead to </w:t>
            </w:r>
            <w:r w:rsidRPr="009A6FBA" w:rsidR="009A18DA">
              <w:rPr>
                <w:rFonts w:ascii="Arial" w:hAnsi="Arial" w:cs="Arial"/>
                <w:sz w:val="20"/>
                <w:szCs w:val="20"/>
              </w:rPr>
              <w:t>environmental</w:t>
            </w:r>
            <w:r w:rsidRPr="009A6FBA" w:rsidR="000C5745">
              <w:rPr>
                <w:rFonts w:ascii="Arial" w:hAnsi="Arial" w:cs="Arial"/>
                <w:sz w:val="20"/>
                <w:szCs w:val="20"/>
              </w:rPr>
              <w:t xml:space="preserve"> improvements</w:t>
            </w:r>
            <w:r w:rsidRPr="009A6FBA" w:rsidR="00563496">
              <w:rPr>
                <w:rFonts w:ascii="Arial" w:hAnsi="Arial" w:cs="Arial"/>
                <w:sz w:val="20"/>
                <w:szCs w:val="20"/>
              </w:rPr>
              <w:t xml:space="preserve"> in the design of products and supply chain collaboration</w:t>
            </w:r>
            <w:r w:rsidRPr="009A6FBA" w:rsidR="0065745D">
              <w:rPr>
                <w:rFonts w:ascii="Arial" w:hAnsi="Arial" w:cs="Arial"/>
                <w:sz w:val="20"/>
                <w:szCs w:val="20"/>
              </w:rPr>
              <w:t>.</w:t>
            </w:r>
            <w:r w:rsidRPr="009A6FBA" w:rsidR="00563496">
              <w:rPr>
                <w:rFonts w:ascii="Arial" w:hAnsi="Arial" w:cs="Arial"/>
                <w:sz w:val="20"/>
                <w:szCs w:val="20"/>
              </w:rPr>
              <w:t xml:space="preserve"> </w:t>
            </w:r>
            <w:r w:rsidRPr="009A6FBA" w:rsidR="0065745D">
              <w:rPr>
                <w:rFonts w:ascii="Arial" w:hAnsi="Arial" w:cs="Arial"/>
                <w:sz w:val="20"/>
                <w:szCs w:val="20"/>
              </w:rPr>
              <w:t>W</w:t>
            </w:r>
            <w:r w:rsidRPr="009A6FBA" w:rsidR="00563496">
              <w:rPr>
                <w:rFonts w:ascii="Arial" w:hAnsi="Arial" w:cs="Arial"/>
                <w:sz w:val="20"/>
                <w:szCs w:val="20"/>
              </w:rPr>
              <w:t>e expect that due to a</w:t>
            </w:r>
            <w:r w:rsidR="006D276E">
              <w:rPr>
                <w:rFonts w:ascii="Arial" w:hAnsi="Arial" w:cs="Arial"/>
                <w:sz w:val="20"/>
                <w:szCs w:val="20"/>
              </w:rPr>
              <w:t>n</w:t>
            </w:r>
            <w:r w:rsidRPr="009A6FBA" w:rsidR="00563496">
              <w:rPr>
                <w:rFonts w:ascii="Arial" w:hAnsi="Arial" w:cs="Arial"/>
                <w:sz w:val="20"/>
                <w:szCs w:val="20"/>
              </w:rPr>
              <w:t xml:space="preserve"> eas</w:t>
            </w:r>
            <w:r w:rsidRPr="009A6FBA" w:rsidR="0065745D">
              <w:rPr>
                <w:rFonts w:ascii="Arial" w:hAnsi="Arial" w:cs="Arial"/>
                <w:sz w:val="20"/>
                <w:szCs w:val="20"/>
              </w:rPr>
              <w:t>ier</w:t>
            </w:r>
            <w:r w:rsidRPr="009A6FBA" w:rsidR="00563496">
              <w:rPr>
                <w:rFonts w:ascii="Arial" w:hAnsi="Arial" w:cs="Arial"/>
                <w:sz w:val="20"/>
                <w:szCs w:val="20"/>
              </w:rPr>
              <w:t xml:space="preserve"> identification of more environmentally friendly options, some of the consumption, procurement (public and business) and investment in the EU will further shift towards greener products and companies. </w:t>
            </w:r>
          </w:p>
        </w:tc>
      </w:tr>
      <w:tr w:rsidTr="00203E25">
        <w:tblPrEx>
          <w:tblW w:w="10314" w:type="dxa"/>
          <w:tblLook w:val="01E0"/>
        </w:tblPrEx>
        <w:tc>
          <w:tcPr>
            <w:tcW w:w="10314" w:type="dxa"/>
            <w:tcBorders>
              <w:bottom w:val="single" w:sz="4" w:space="0" w:color="auto"/>
            </w:tcBorders>
            <w:shd w:val="clear" w:color="auto" w:fill="E6E6E6"/>
          </w:tcPr>
          <w:p w:rsidR="00C9010B" w:rsidRPr="009A6FBA" w:rsidP="00BC66A8">
            <w:pPr>
              <w:spacing w:before="60"/>
              <w:jc w:val="both"/>
              <w:rPr>
                <w:rFonts w:ascii="Arial" w:hAnsi="Arial" w:cs="Arial"/>
                <w:b/>
                <w:sz w:val="20"/>
                <w:szCs w:val="20"/>
              </w:rPr>
            </w:pPr>
            <w:r w:rsidRPr="009A6FBA">
              <w:rPr>
                <w:rFonts w:ascii="Arial" w:hAnsi="Arial" w:cs="Arial"/>
                <w:b/>
                <w:sz w:val="20"/>
                <w:szCs w:val="20"/>
              </w:rPr>
              <w:t>Likely impacts on fundamental rights</w:t>
            </w:r>
          </w:p>
        </w:tc>
      </w:tr>
      <w:tr w:rsidTr="0016574E">
        <w:tblPrEx>
          <w:tblW w:w="10314" w:type="dxa"/>
          <w:tblLook w:val="01E0"/>
        </w:tblPrEx>
        <w:tc>
          <w:tcPr>
            <w:tcW w:w="10314" w:type="dxa"/>
            <w:tcBorders>
              <w:bottom w:val="single" w:sz="4" w:space="0" w:color="auto"/>
            </w:tcBorders>
            <w:shd w:val="clear" w:color="auto" w:fill="auto"/>
          </w:tcPr>
          <w:p w:rsidR="00B91090" w:rsidRPr="009A6FBA" w:rsidP="00B91090">
            <w:pPr>
              <w:spacing w:before="60" w:after="120"/>
              <w:jc w:val="both"/>
              <w:rPr>
                <w:rFonts w:ascii="Arial" w:hAnsi="Arial" w:cs="Arial"/>
                <w:color w:val="00B050"/>
                <w:sz w:val="20"/>
                <w:szCs w:val="20"/>
              </w:rPr>
            </w:pPr>
            <w:r w:rsidRPr="009A6FBA">
              <w:rPr>
                <w:rFonts w:ascii="Arial" w:hAnsi="Arial" w:cs="Arial"/>
                <w:sz w:val="20"/>
                <w:szCs w:val="20"/>
              </w:rPr>
              <w:t>Not applicable</w:t>
            </w:r>
          </w:p>
        </w:tc>
      </w:tr>
      <w:tr w:rsidTr="00203E25">
        <w:tblPrEx>
          <w:tblW w:w="10314" w:type="dxa"/>
          <w:tblLook w:val="01E0"/>
        </w:tblPrEx>
        <w:tc>
          <w:tcPr>
            <w:tcW w:w="10314" w:type="dxa"/>
            <w:tcBorders>
              <w:bottom w:val="single" w:sz="4" w:space="0" w:color="auto"/>
            </w:tcBorders>
            <w:shd w:val="clear" w:color="auto" w:fill="E6E6E6"/>
          </w:tcPr>
          <w:p w:rsidR="0016574E" w:rsidRPr="009A6FBA" w:rsidP="00BC66A8">
            <w:pPr>
              <w:spacing w:before="60"/>
              <w:jc w:val="both"/>
              <w:rPr>
                <w:rFonts w:ascii="Arial" w:hAnsi="Arial" w:cs="Arial"/>
                <w:b/>
                <w:sz w:val="20"/>
                <w:szCs w:val="20"/>
              </w:rPr>
            </w:pPr>
            <w:r w:rsidRPr="009A6FBA">
              <w:rPr>
                <w:rFonts w:ascii="Arial" w:hAnsi="Arial" w:cs="Arial"/>
                <w:b/>
                <w:sz w:val="20"/>
                <w:szCs w:val="20"/>
              </w:rPr>
              <w:t>Likely impacts on simplification and/or administrative burden</w:t>
            </w:r>
          </w:p>
        </w:tc>
      </w:tr>
      <w:tr w:rsidTr="00203E25">
        <w:tblPrEx>
          <w:tblW w:w="10314" w:type="dxa"/>
          <w:tblLook w:val="01E0"/>
        </w:tblPrEx>
        <w:tc>
          <w:tcPr>
            <w:tcW w:w="10314" w:type="dxa"/>
            <w:tcBorders>
              <w:top w:val="single" w:sz="4" w:space="0" w:color="auto"/>
              <w:left w:val="single" w:sz="4" w:space="0" w:color="auto"/>
              <w:bottom w:val="single" w:sz="4" w:space="0" w:color="auto"/>
              <w:right w:val="single" w:sz="4" w:space="0" w:color="auto"/>
            </w:tcBorders>
            <w:shd w:val="clear" w:color="auto" w:fill="auto"/>
          </w:tcPr>
          <w:p w:rsidR="001C6FB4" w:rsidRPr="009A6FBA" w:rsidP="001C6FB4">
            <w:pPr>
              <w:spacing w:before="60" w:after="60"/>
              <w:jc w:val="both"/>
              <w:rPr>
                <w:rFonts w:ascii="Arial" w:hAnsi="Arial" w:cs="Arial"/>
                <w:sz w:val="20"/>
                <w:szCs w:val="20"/>
              </w:rPr>
            </w:pPr>
            <w:r w:rsidRPr="009A6FBA">
              <w:rPr>
                <w:rFonts w:ascii="Arial" w:hAnsi="Arial" w:cs="Arial"/>
                <w:sz w:val="20"/>
                <w:szCs w:val="20"/>
              </w:rPr>
              <w:t xml:space="preserve">Costs for public administrations at EU level and national level will decrease if a single </w:t>
            </w:r>
            <w:r w:rsidRPr="009A6FBA" w:rsidR="00924CDD">
              <w:rPr>
                <w:rFonts w:ascii="Arial" w:hAnsi="Arial" w:cs="Arial"/>
                <w:sz w:val="20"/>
                <w:szCs w:val="20"/>
              </w:rPr>
              <w:t>method</w:t>
            </w:r>
            <w:r w:rsidRPr="009A6FBA">
              <w:rPr>
                <w:rFonts w:ascii="Arial" w:hAnsi="Arial" w:cs="Arial"/>
                <w:sz w:val="20"/>
                <w:szCs w:val="20"/>
              </w:rPr>
              <w:t xml:space="preserve"> </w:t>
            </w:r>
            <w:r w:rsidRPr="009A6FBA" w:rsidR="002A2E75">
              <w:rPr>
                <w:rFonts w:ascii="Arial" w:hAnsi="Arial" w:cs="Arial"/>
                <w:sz w:val="20"/>
                <w:szCs w:val="20"/>
              </w:rPr>
              <w:t>is</w:t>
            </w:r>
            <w:r w:rsidRPr="009A6FBA">
              <w:rPr>
                <w:rFonts w:ascii="Arial" w:hAnsi="Arial" w:cs="Arial"/>
                <w:sz w:val="20"/>
                <w:szCs w:val="20"/>
              </w:rPr>
              <w:t xml:space="preserve"> used across several instruments</w:t>
            </w:r>
            <w:r w:rsidRPr="009A6FBA" w:rsidR="00B46A32">
              <w:rPr>
                <w:rFonts w:ascii="Arial" w:hAnsi="Arial" w:cs="Arial"/>
                <w:sz w:val="20"/>
                <w:szCs w:val="20"/>
              </w:rPr>
              <w:t>, both for product-related and reporting measures</w:t>
            </w:r>
            <w:r w:rsidRPr="009A6FBA">
              <w:rPr>
                <w:rFonts w:ascii="Arial" w:hAnsi="Arial" w:cs="Arial"/>
                <w:sz w:val="20"/>
                <w:szCs w:val="20"/>
              </w:rPr>
              <w:t xml:space="preserve">. </w:t>
            </w:r>
            <w:r w:rsidRPr="009A6FBA" w:rsidR="000C688F">
              <w:rPr>
                <w:rFonts w:ascii="Arial" w:hAnsi="Arial" w:cs="Arial"/>
                <w:sz w:val="20"/>
                <w:szCs w:val="20"/>
              </w:rPr>
              <w:t>However, if an obligation would be imposed on officially recognised ISO 14024 type 1 ecolabels, additional costs might be expected</w:t>
            </w:r>
            <w:r w:rsidRPr="009A6FBA" w:rsidR="006A1827">
              <w:rPr>
                <w:rFonts w:ascii="Arial" w:hAnsi="Arial" w:cs="Arial"/>
                <w:sz w:val="20"/>
                <w:szCs w:val="20"/>
              </w:rPr>
              <w:t xml:space="preserve"> for them to adapt</w:t>
            </w:r>
            <w:r w:rsidRPr="009A6FBA" w:rsidR="000C688F">
              <w:rPr>
                <w:rFonts w:ascii="Arial" w:hAnsi="Arial" w:cs="Arial"/>
                <w:sz w:val="20"/>
                <w:szCs w:val="20"/>
              </w:rPr>
              <w:t>.</w:t>
            </w:r>
            <w:r w:rsidRPr="009A6FBA" w:rsidR="003F7E0B">
              <w:rPr>
                <w:rFonts w:ascii="Arial" w:hAnsi="Arial" w:cs="Arial"/>
                <w:sz w:val="20"/>
                <w:szCs w:val="20"/>
              </w:rPr>
              <w:t xml:space="preserve"> The impact assessment will analyse </w:t>
            </w:r>
            <w:r w:rsidRPr="009A6FBA" w:rsidR="00251233">
              <w:rPr>
                <w:rFonts w:ascii="Arial" w:hAnsi="Arial" w:cs="Arial"/>
                <w:sz w:val="20"/>
                <w:szCs w:val="20"/>
              </w:rPr>
              <w:t xml:space="preserve">different options regarding these labels and identify opportunities for mitigating costs. </w:t>
            </w:r>
          </w:p>
          <w:p w:rsidR="001C6FB4" w:rsidRPr="009A6FBA" w:rsidP="001C6FB4">
            <w:pPr>
              <w:spacing w:before="60" w:after="60"/>
              <w:jc w:val="both"/>
              <w:rPr>
                <w:rFonts w:ascii="Arial" w:hAnsi="Arial" w:cs="Arial"/>
                <w:sz w:val="20"/>
                <w:szCs w:val="20"/>
              </w:rPr>
            </w:pPr>
            <w:r w:rsidRPr="009A6FBA">
              <w:rPr>
                <w:rFonts w:ascii="Arial" w:hAnsi="Arial" w:cs="Arial"/>
                <w:sz w:val="20"/>
                <w:szCs w:val="20"/>
              </w:rPr>
              <w:t xml:space="preserve">For those public administrations at Member State level that are currently </w:t>
            </w:r>
            <w:r w:rsidRPr="009A6FBA">
              <w:rPr>
                <w:rFonts w:ascii="Arial" w:hAnsi="Arial" w:cs="Arial"/>
                <w:sz w:val="20"/>
                <w:szCs w:val="20"/>
                <w:u w:val="single"/>
              </w:rPr>
              <w:t>not</w:t>
            </w:r>
            <w:r w:rsidRPr="009A6FBA">
              <w:rPr>
                <w:rFonts w:ascii="Arial" w:hAnsi="Arial" w:cs="Arial"/>
                <w:sz w:val="20"/>
                <w:szCs w:val="20"/>
              </w:rPr>
              <w:t xml:space="preserve"> managing such schemes, there would be an additional cost. For those that are managing schemes, the cost would be reduced by tasks performed at EU level (e.g. preparatory work, maintenance of databases, criteria setting). </w:t>
            </w:r>
          </w:p>
          <w:p w:rsidR="00C31458" w:rsidRPr="009A6FBA" w:rsidP="00CE1224">
            <w:pPr>
              <w:spacing w:before="60" w:after="60"/>
              <w:jc w:val="both"/>
              <w:rPr>
                <w:rFonts w:ascii="Arial" w:hAnsi="Arial" w:cs="Arial"/>
                <w:sz w:val="20"/>
                <w:szCs w:val="20"/>
              </w:rPr>
            </w:pPr>
            <w:r w:rsidRPr="00332198">
              <w:rPr>
                <w:rFonts w:ascii="Arial" w:hAnsi="Arial" w:cs="Arial"/>
                <w:sz w:val="20"/>
                <w:szCs w:val="20"/>
              </w:rPr>
              <w:t>If they make a choice to use a green claim, a</w:t>
            </w:r>
            <w:r w:rsidRPr="00332198">
              <w:rPr>
                <w:rFonts w:ascii="Arial" w:hAnsi="Arial" w:cs="Arial"/>
                <w:sz w:val="20"/>
                <w:szCs w:val="20"/>
              </w:rPr>
              <w:t>dditional costs</w:t>
            </w:r>
            <w:r w:rsidRPr="00332198" w:rsidR="001F4A1C">
              <w:rPr>
                <w:rFonts w:ascii="Arial" w:hAnsi="Arial" w:cs="Arial"/>
                <w:sz w:val="20"/>
                <w:szCs w:val="20"/>
              </w:rPr>
              <w:t xml:space="preserve"> and fees</w:t>
            </w:r>
            <w:r w:rsidRPr="00332198">
              <w:rPr>
                <w:rFonts w:ascii="Arial" w:hAnsi="Arial" w:cs="Arial"/>
                <w:sz w:val="20"/>
                <w:szCs w:val="20"/>
              </w:rPr>
              <w:t xml:space="preserve"> can be expected for businesses that apply the scheme.</w:t>
            </w:r>
            <w:r w:rsidRPr="00332198" w:rsidR="00D7314D">
              <w:rPr>
                <w:rFonts w:ascii="Arial" w:hAnsi="Arial" w:cs="Arial"/>
                <w:sz w:val="20"/>
                <w:szCs w:val="20"/>
              </w:rPr>
              <w:t xml:space="preserve"> </w:t>
            </w:r>
            <w:r w:rsidRPr="00332198" w:rsidR="00BE3680">
              <w:rPr>
                <w:rFonts w:ascii="Arial" w:hAnsi="Arial" w:cs="Arial"/>
                <w:sz w:val="20"/>
                <w:szCs w:val="20"/>
              </w:rPr>
              <w:t xml:space="preserve">The Impact Assessment will assess these costs and fees for both situations when a PEFCR/OEFSR </w:t>
            </w:r>
            <w:r w:rsidRPr="00332198" w:rsidR="000C67F5">
              <w:rPr>
                <w:rFonts w:ascii="Arial" w:hAnsi="Arial" w:cs="Arial"/>
                <w:sz w:val="20"/>
                <w:szCs w:val="20"/>
              </w:rPr>
              <w:t>is available or when studies are carried out based on the PEF/ OEF methods</w:t>
            </w:r>
            <w:r w:rsidRPr="00332198" w:rsidR="00BE3680">
              <w:rPr>
                <w:rFonts w:ascii="Arial" w:hAnsi="Arial" w:cs="Arial"/>
                <w:sz w:val="20"/>
                <w:szCs w:val="20"/>
              </w:rPr>
              <w:t xml:space="preserve">. </w:t>
            </w:r>
            <w:r w:rsidRPr="00332198" w:rsidR="001C6FB4">
              <w:rPr>
                <w:rFonts w:ascii="Arial" w:hAnsi="Arial" w:cs="Arial"/>
                <w:sz w:val="20"/>
                <w:szCs w:val="20"/>
              </w:rPr>
              <w:t xml:space="preserve">The administrative burdens related to the proposals </w:t>
            </w:r>
            <w:r w:rsidRPr="00332198" w:rsidR="002A2E75">
              <w:rPr>
                <w:rFonts w:ascii="Arial" w:hAnsi="Arial" w:cs="Arial"/>
                <w:sz w:val="20"/>
                <w:szCs w:val="20"/>
              </w:rPr>
              <w:t>would</w:t>
            </w:r>
            <w:r w:rsidRPr="00332198" w:rsidR="001C6FB4">
              <w:rPr>
                <w:rFonts w:ascii="Arial" w:hAnsi="Arial" w:cs="Arial"/>
                <w:sz w:val="20"/>
                <w:szCs w:val="20"/>
              </w:rPr>
              <w:t xml:space="preserve"> be minimised by focussing reporting on issues </w:t>
            </w:r>
            <w:r w:rsidRPr="00332198" w:rsidR="00084DAF">
              <w:rPr>
                <w:rFonts w:ascii="Arial" w:hAnsi="Arial" w:cs="Arial"/>
                <w:sz w:val="20"/>
                <w:szCs w:val="20"/>
              </w:rPr>
              <w:t xml:space="preserve">that are </w:t>
            </w:r>
            <w:r w:rsidRPr="00332198" w:rsidR="001C6FB4">
              <w:rPr>
                <w:rFonts w:ascii="Arial" w:hAnsi="Arial" w:cs="Arial"/>
                <w:sz w:val="20"/>
                <w:szCs w:val="20"/>
              </w:rPr>
              <w:t>relevant</w:t>
            </w:r>
            <w:r w:rsidRPr="009A6FBA" w:rsidR="001C6FB4">
              <w:rPr>
                <w:rFonts w:ascii="Arial" w:hAnsi="Arial" w:cs="Arial"/>
                <w:sz w:val="20"/>
                <w:szCs w:val="20"/>
              </w:rPr>
              <w:t xml:space="preserve"> for the given product or sector</w:t>
            </w:r>
            <w:r w:rsidRPr="009A6FBA" w:rsidR="00084DAF">
              <w:rPr>
                <w:rFonts w:ascii="Arial" w:hAnsi="Arial" w:cs="Arial"/>
                <w:sz w:val="20"/>
                <w:szCs w:val="20"/>
              </w:rPr>
              <w:t xml:space="preserve"> and necessary and proportionate for the tool used</w:t>
            </w:r>
            <w:r w:rsidRPr="009A6FBA" w:rsidR="001C6FB4">
              <w:rPr>
                <w:rFonts w:ascii="Arial" w:hAnsi="Arial" w:cs="Arial"/>
                <w:sz w:val="20"/>
                <w:szCs w:val="20"/>
              </w:rPr>
              <w:t>; by introducing a single reference instead of allowing a proliferation of policy or de facto requirements on M</w:t>
            </w:r>
            <w:r w:rsidRPr="009A6FBA" w:rsidR="004B33B3">
              <w:rPr>
                <w:rFonts w:ascii="Arial" w:hAnsi="Arial" w:cs="Arial"/>
                <w:sz w:val="20"/>
                <w:szCs w:val="20"/>
              </w:rPr>
              <w:t xml:space="preserve">ember </w:t>
            </w:r>
            <w:r w:rsidRPr="009A6FBA" w:rsidR="001C6FB4">
              <w:rPr>
                <w:rFonts w:ascii="Arial" w:hAnsi="Arial" w:cs="Arial"/>
                <w:sz w:val="20"/>
                <w:szCs w:val="20"/>
              </w:rPr>
              <w:t>S</w:t>
            </w:r>
            <w:r w:rsidRPr="009A6FBA" w:rsidR="004B33B3">
              <w:rPr>
                <w:rFonts w:ascii="Arial" w:hAnsi="Arial" w:cs="Arial"/>
                <w:sz w:val="20"/>
                <w:szCs w:val="20"/>
              </w:rPr>
              <w:t>tates</w:t>
            </w:r>
            <w:r w:rsidRPr="009A6FBA" w:rsidR="001C6FB4">
              <w:rPr>
                <w:rFonts w:ascii="Arial" w:hAnsi="Arial" w:cs="Arial"/>
                <w:sz w:val="20"/>
                <w:szCs w:val="20"/>
              </w:rPr>
              <w:t xml:space="preserve"> markets; by providing access to free data; by providing a basis for developing easy-to-use calculation tools. </w:t>
            </w:r>
          </w:p>
          <w:p w:rsidR="001C6FB4" w:rsidRPr="009A6FBA" w:rsidP="005D0105">
            <w:pPr>
              <w:spacing w:before="60" w:after="60"/>
              <w:jc w:val="both"/>
              <w:rPr>
                <w:rFonts w:ascii="Arial" w:hAnsi="Arial" w:cs="Arial"/>
                <w:i/>
                <w:color w:val="00B050"/>
                <w:sz w:val="20"/>
                <w:szCs w:val="20"/>
              </w:rPr>
            </w:pPr>
          </w:p>
        </w:tc>
      </w:tr>
      <w:tr w:rsidTr="007F50CF">
        <w:tblPrEx>
          <w:tblW w:w="10314" w:type="dxa"/>
          <w:tblLook w:val="01E0"/>
        </w:tblPrEx>
        <w:tc>
          <w:tcPr>
            <w:tcW w:w="10314" w:type="dxa"/>
            <w:tcBorders>
              <w:bottom w:val="single" w:sz="4" w:space="0" w:color="auto"/>
            </w:tcBorders>
            <w:shd w:val="clear" w:color="auto" w:fill="0000FF"/>
          </w:tcPr>
          <w:p w:rsidR="00E67B71" w:rsidRPr="009A6FBA" w:rsidP="009F60F0">
            <w:pPr>
              <w:spacing w:before="60" w:after="60"/>
              <w:jc w:val="center"/>
              <w:rPr>
                <w:rFonts w:ascii="Arial" w:hAnsi="Arial" w:cs="Arial"/>
                <w:b/>
                <w:sz w:val="22"/>
                <w:szCs w:val="22"/>
              </w:rPr>
            </w:pPr>
            <w:r w:rsidRPr="009A6FBA">
              <w:rPr>
                <w:rFonts w:ascii="Arial" w:hAnsi="Arial" w:cs="Arial"/>
                <w:b/>
                <w:sz w:val="22"/>
                <w:szCs w:val="22"/>
                <w:highlight w:val="blue"/>
              </w:rPr>
              <w:t xml:space="preserve">D. </w:t>
            </w:r>
            <w:r w:rsidRPr="009A6FBA" w:rsidR="009F22CE">
              <w:rPr>
                <w:rFonts w:ascii="Arial" w:hAnsi="Arial" w:cs="Arial"/>
                <w:b/>
                <w:sz w:val="22"/>
                <w:szCs w:val="22"/>
                <w:highlight w:val="blue"/>
              </w:rPr>
              <w:t xml:space="preserve">Evidence Base, </w:t>
            </w:r>
            <w:r w:rsidRPr="009A6FBA">
              <w:rPr>
                <w:rFonts w:ascii="Arial" w:hAnsi="Arial" w:cs="Arial"/>
                <w:b/>
                <w:sz w:val="22"/>
                <w:szCs w:val="22"/>
                <w:highlight w:val="blue"/>
              </w:rPr>
              <w:t xml:space="preserve">Data </w:t>
            </w:r>
            <w:r w:rsidRPr="009A6FBA" w:rsidR="00035360">
              <w:rPr>
                <w:rFonts w:ascii="Arial" w:hAnsi="Arial" w:cs="Arial"/>
                <w:b/>
                <w:color w:val="FFFFFF" w:themeColor="background1"/>
                <w:sz w:val="22"/>
                <w:szCs w:val="22"/>
                <w:highlight w:val="blue"/>
                <w:shd w:val="clear" w:color="auto" w:fill="0070C0"/>
              </w:rPr>
              <w:t>c</w:t>
            </w:r>
            <w:r w:rsidRPr="009A6FBA">
              <w:rPr>
                <w:rFonts w:ascii="Arial" w:hAnsi="Arial" w:cs="Arial"/>
                <w:b/>
                <w:color w:val="FFFFFF" w:themeColor="background1"/>
                <w:sz w:val="22"/>
                <w:szCs w:val="22"/>
                <w:highlight w:val="blue"/>
                <w:shd w:val="clear" w:color="auto" w:fill="0070C0"/>
              </w:rPr>
              <w:t>ollection and Better Regulation</w:t>
            </w:r>
            <w:r w:rsidRPr="009A6FBA">
              <w:rPr>
                <w:rFonts w:ascii="Arial" w:hAnsi="Arial" w:cs="Arial"/>
                <w:b/>
                <w:color w:val="FFFFFF" w:themeColor="background1"/>
                <w:sz w:val="22"/>
                <w:szCs w:val="22"/>
                <w:highlight w:val="blue"/>
              </w:rPr>
              <w:t xml:space="preserve"> Instruments</w:t>
            </w:r>
          </w:p>
        </w:tc>
      </w:tr>
      <w:tr w:rsidTr="007F50CF">
        <w:tblPrEx>
          <w:tblW w:w="10314" w:type="dxa"/>
          <w:tblLook w:val="01E0"/>
        </w:tblPrEx>
        <w:tc>
          <w:tcPr>
            <w:tcW w:w="10314" w:type="dxa"/>
            <w:tcBorders>
              <w:bottom w:val="single" w:sz="4" w:space="0" w:color="auto"/>
            </w:tcBorders>
            <w:shd w:val="clear" w:color="auto" w:fill="E6E6E6"/>
          </w:tcPr>
          <w:p w:rsidR="00E67B71" w:rsidRPr="009A6FBA" w:rsidP="00BC66A8">
            <w:pPr>
              <w:spacing w:before="60"/>
              <w:jc w:val="both"/>
              <w:rPr>
                <w:rFonts w:ascii="Arial" w:hAnsi="Arial" w:cs="Arial"/>
                <w:i/>
                <w:sz w:val="20"/>
                <w:szCs w:val="20"/>
              </w:rPr>
            </w:pPr>
            <w:r w:rsidRPr="009A6FBA">
              <w:rPr>
                <w:rFonts w:ascii="Arial" w:hAnsi="Arial" w:cs="Arial"/>
                <w:b/>
                <w:sz w:val="20"/>
                <w:szCs w:val="20"/>
              </w:rPr>
              <w:t>Impact assessment</w:t>
            </w:r>
          </w:p>
        </w:tc>
      </w:tr>
      <w:tr w:rsidTr="007F50CF">
        <w:tblPrEx>
          <w:tblW w:w="10314" w:type="dxa"/>
          <w:tblLook w:val="01E0"/>
        </w:tblPrEx>
        <w:tc>
          <w:tcPr>
            <w:tcW w:w="10314" w:type="dxa"/>
            <w:tcBorders>
              <w:bottom w:val="single" w:sz="4" w:space="0" w:color="auto"/>
            </w:tcBorders>
            <w:shd w:val="clear" w:color="auto" w:fill="auto"/>
          </w:tcPr>
          <w:p w:rsidR="00746978" w:rsidRPr="009A6FBA">
            <w:pPr>
              <w:spacing w:before="60" w:after="60"/>
              <w:jc w:val="both"/>
              <w:rPr>
                <w:rFonts w:ascii="Arial" w:hAnsi="Arial" w:cs="Arial"/>
                <w:sz w:val="20"/>
                <w:szCs w:val="20"/>
              </w:rPr>
            </w:pPr>
            <w:r w:rsidRPr="009A6FBA">
              <w:rPr>
                <w:rFonts w:ascii="Arial" w:hAnsi="Arial" w:cs="Arial"/>
                <w:sz w:val="20"/>
                <w:szCs w:val="20"/>
              </w:rPr>
              <w:t xml:space="preserve">An Impact Assessment will be developed to underpin the Commission's proposal. It will analyse possible options to determine the best design for the proposal. </w:t>
            </w:r>
            <w:r w:rsidRPr="009A6FBA" w:rsidR="00366FA9">
              <w:rPr>
                <w:rFonts w:ascii="Arial" w:hAnsi="Arial" w:cs="Arial"/>
              </w:rPr>
              <w:t xml:space="preserve"> </w:t>
            </w:r>
            <w:r w:rsidRPr="009A6FBA" w:rsidR="00366FA9">
              <w:rPr>
                <w:rFonts w:ascii="Arial" w:hAnsi="Arial" w:cs="Arial"/>
                <w:sz w:val="20"/>
                <w:szCs w:val="20"/>
              </w:rPr>
              <w:t>In particular, the analysis will examine the administrative costs (from additional analysis and verification) or savings (from reducing duplication) and the coherence across different approaches.</w:t>
            </w:r>
          </w:p>
          <w:p w:rsidR="006A0835" w:rsidRPr="009A6FBA" w:rsidP="00CA4F38">
            <w:pPr>
              <w:pStyle w:val="Default"/>
              <w:jc w:val="both"/>
              <w:rPr>
                <w:rFonts w:ascii="Arial" w:hAnsi="Arial" w:cs="Arial"/>
                <w:color w:val="00B050"/>
                <w:sz w:val="20"/>
                <w:szCs w:val="20"/>
                <w:lang w:val="en-IE"/>
              </w:rPr>
            </w:pPr>
          </w:p>
        </w:tc>
      </w:tr>
      <w:tr w:rsidTr="005E580A">
        <w:tblPrEx>
          <w:tblW w:w="10314" w:type="dxa"/>
          <w:tblLook w:val="01E0"/>
        </w:tblPrEx>
        <w:tc>
          <w:tcPr>
            <w:tcW w:w="10314" w:type="dxa"/>
            <w:tcBorders>
              <w:bottom w:val="single" w:sz="4" w:space="0" w:color="auto"/>
            </w:tcBorders>
            <w:shd w:val="clear" w:color="auto" w:fill="E6E6E6"/>
          </w:tcPr>
          <w:p w:rsidR="00D767EF" w:rsidRPr="009A6FBA" w:rsidP="00E72458">
            <w:pPr>
              <w:spacing w:before="60"/>
              <w:jc w:val="both"/>
              <w:rPr>
                <w:rFonts w:ascii="Arial" w:hAnsi="Arial" w:cs="Arial"/>
                <w:i/>
                <w:sz w:val="20"/>
                <w:szCs w:val="20"/>
              </w:rPr>
            </w:pPr>
            <w:r w:rsidRPr="009A6FBA">
              <w:rPr>
                <w:rFonts w:ascii="Arial" w:hAnsi="Arial" w:cs="Arial"/>
                <w:b/>
                <w:sz w:val="20"/>
                <w:szCs w:val="20"/>
              </w:rPr>
              <w:t>Evidence base and d</w:t>
            </w:r>
            <w:r w:rsidRPr="009A6FBA">
              <w:rPr>
                <w:rFonts w:ascii="Arial" w:hAnsi="Arial" w:cs="Arial"/>
                <w:b/>
                <w:sz w:val="20"/>
                <w:szCs w:val="20"/>
              </w:rPr>
              <w:t>ata collection</w:t>
            </w:r>
          </w:p>
        </w:tc>
      </w:tr>
      <w:tr w:rsidTr="005E580A">
        <w:tblPrEx>
          <w:tblW w:w="10314" w:type="dxa"/>
          <w:tblLook w:val="01E0"/>
        </w:tblPrEx>
        <w:tc>
          <w:tcPr>
            <w:tcW w:w="10314" w:type="dxa"/>
            <w:tcBorders>
              <w:bottom w:val="single" w:sz="4" w:space="0" w:color="auto"/>
            </w:tcBorders>
            <w:shd w:val="clear" w:color="auto" w:fill="auto"/>
          </w:tcPr>
          <w:p w:rsidR="00626768" w:rsidRPr="009A6FBA" w:rsidP="00626768">
            <w:pPr>
              <w:spacing w:before="60" w:after="60"/>
              <w:jc w:val="both"/>
              <w:rPr>
                <w:rFonts w:ascii="Arial" w:hAnsi="Arial" w:cs="Arial"/>
                <w:sz w:val="20"/>
                <w:szCs w:val="20"/>
              </w:rPr>
            </w:pPr>
            <w:r w:rsidRPr="009A6FBA">
              <w:rPr>
                <w:rFonts w:ascii="Arial" w:hAnsi="Arial" w:cs="Arial"/>
                <w:sz w:val="20"/>
                <w:szCs w:val="20"/>
              </w:rPr>
              <w:t>T</w:t>
            </w:r>
            <w:r w:rsidRPr="009A6FBA" w:rsidR="006A0835">
              <w:rPr>
                <w:rFonts w:ascii="Arial" w:hAnsi="Arial" w:cs="Arial"/>
                <w:sz w:val="20"/>
                <w:szCs w:val="20"/>
              </w:rPr>
              <w:t xml:space="preserve">here are a wide range of studies and reports relevant to </w:t>
            </w:r>
            <w:r w:rsidRPr="009A6FBA">
              <w:rPr>
                <w:rFonts w:ascii="Arial" w:hAnsi="Arial" w:cs="Arial"/>
                <w:sz w:val="20"/>
                <w:szCs w:val="20"/>
              </w:rPr>
              <w:t xml:space="preserve">the impact assessment. </w:t>
            </w:r>
          </w:p>
          <w:p w:rsidR="00626768" w:rsidRPr="009A6FBA" w:rsidP="00626768">
            <w:pPr>
              <w:pStyle w:val="ListParagraph"/>
              <w:numPr>
                <w:ilvl w:val="0"/>
                <w:numId w:val="22"/>
              </w:numPr>
              <w:spacing w:before="60" w:after="60"/>
              <w:jc w:val="both"/>
              <w:rPr>
                <w:rFonts w:ascii="Arial" w:hAnsi="Arial" w:cs="Arial"/>
                <w:sz w:val="20"/>
                <w:szCs w:val="20"/>
              </w:rPr>
            </w:pPr>
            <w:r w:rsidRPr="009A6FBA">
              <w:rPr>
                <w:rFonts w:ascii="Arial" w:hAnsi="Arial" w:cs="Arial"/>
                <w:sz w:val="20"/>
                <w:szCs w:val="20"/>
              </w:rPr>
              <w:t xml:space="preserve">Studies on the trends in green markets: </w:t>
            </w:r>
            <w:r>
              <w:fldChar w:fldCharType="begin"/>
            </w:r>
            <w:r>
              <w:instrText xml:space="preserve"> HYPERLINK "https://www.bcg.com/en-be/publications/2014/consumer-products-sustainability-social-responsibility-leads-growth.aspx" </w:instrText>
            </w:r>
            <w:r>
              <w:fldChar w:fldCharType="separate"/>
            </w:r>
            <w:r w:rsidRPr="009A6FBA">
              <w:rPr>
                <w:rStyle w:val="Hyperlink"/>
                <w:rFonts w:ascii="Arial" w:hAnsi="Arial" w:cs="Arial"/>
                <w:sz w:val="20"/>
                <w:szCs w:val="20"/>
              </w:rPr>
              <w:t>Boston Consulting Group 2014</w:t>
            </w:r>
            <w:r>
              <w:fldChar w:fldCharType="end"/>
            </w:r>
            <w:r w:rsidRPr="009A6FBA">
              <w:rPr>
                <w:rFonts w:ascii="Arial" w:hAnsi="Arial" w:cs="Arial"/>
                <w:sz w:val="20"/>
                <w:szCs w:val="20"/>
              </w:rPr>
              <w:t xml:space="preserve">, </w:t>
            </w:r>
            <w:r>
              <w:fldChar w:fldCharType="begin"/>
            </w:r>
            <w:r>
              <w:instrText xml:space="preserve"> HYPERLINK "http://www.nielsen.com/eu/en/insights/reports/2015/the-sustainability-imperative.html" </w:instrText>
            </w:r>
            <w:r>
              <w:fldChar w:fldCharType="separate"/>
            </w:r>
            <w:r w:rsidRPr="009A6FBA">
              <w:rPr>
                <w:rStyle w:val="Hyperlink"/>
                <w:rFonts w:ascii="Arial" w:hAnsi="Arial" w:cs="Arial"/>
                <w:sz w:val="20"/>
                <w:szCs w:val="20"/>
              </w:rPr>
              <w:t>Nielsen 2015</w:t>
            </w:r>
            <w:r>
              <w:fldChar w:fldCharType="end"/>
            </w:r>
            <w:r w:rsidRPr="009A6FBA">
              <w:rPr>
                <w:rFonts w:ascii="Arial" w:hAnsi="Arial" w:cs="Arial"/>
                <w:sz w:val="20"/>
                <w:szCs w:val="20"/>
              </w:rPr>
              <w:t xml:space="preserve">, </w:t>
            </w:r>
            <w:r>
              <w:fldChar w:fldCharType="begin"/>
            </w:r>
            <w:r>
              <w:instrText xml:space="preserve"> HYPERLINK "https://ec.europa.eu/environment/eussd/smgp/pdf/2017_Euromonitor_EU_opp_envlabels.pdf" </w:instrText>
            </w:r>
            <w:r>
              <w:fldChar w:fldCharType="separate"/>
            </w:r>
            <w:r w:rsidRPr="009A6FBA">
              <w:rPr>
                <w:rStyle w:val="Hyperlink"/>
                <w:rFonts w:ascii="Arial" w:hAnsi="Arial" w:cs="Arial"/>
                <w:sz w:val="20"/>
                <w:szCs w:val="20"/>
              </w:rPr>
              <w:t>Euromonitor for the European Commission</w:t>
            </w:r>
            <w:r>
              <w:fldChar w:fldCharType="end"/>
            </w:r>
            <w:r w:rsidRPr="009A6FBA">
              <w:rPr>
                <w:rFonts w:ascii="Arial" w:hAnsi="Arial" w:cs="Arial"/>
                <w:sz w:val="20"/>
                <w:szCs w:val="20"/>
              </w:rPr>
              <w:t xml:space="preserve"> 2016, </w:t>
            </w:r>
            <w:r>
              <w:fldChar w:fldCharType="begin"/>
            </w:r>
            <w:r>
              <w:instrText xml:space="preserve"> HYPERLINK "https://www.ecologique-solidaire.gouv.fr/sites/default/files/Th%C3%A9ma%20-%20Qui%20est%20pr%C3%AAt%20%C3%A0%20payer%20davantage%20pour%20un%20produit%20vert.pdf" </w:instrText>
            </w:r>
            <w:r>
              <w:fldChar w:fldCharType="separate"/>
            </w:r>
            <w:r w:rsidRPr="009A6FBA">
              <w:rPr>
                <w:rStyle w:val="Hyperlink"/>
                <w:rFonts w:ascii="Arial" w:hAnsi="Arial" w:cs="Arial"/>
                <w:sz w:val="20"/>
                <w:szCs w:val="20"/>
              </w:rPr>
              <w:t>French Ministry for the Ecologic Transition 2017</w:t>
            </w:r>
            <w:r>
              <w:fldChar w:fldCharType="end"/>
            </w:r>
            <w:r w:rsidRPr="009A6FBA" w:rsidR="00AE436E">
              <w:rPr>
                <w:rFonts w:ascii="Arial" w:hAnsi="Arial" w:cs="Arial"/>
                <w:sz w:val="20"/>
                <w:szCs w:val="20"/>
              </w:rPr>
              <w:t xml:space="preserve">, </w:t>
            </w:r>
            <w:r>
              <w:fldChar w:fldCharType="begin"/>
            </w:r>
            <w:r>
              <w:instrText xml:space="preserve"> HYPERLINK "https://www.stern.nyu.edu/experience-stern/about/departments-centers-initiatives/centers-of-research/center-sustainable-business/research/internal-research/sustainable-share-index" </w:instrText>
            </w:r>
            <w:r>
              <w:fldChar w:fldCharType="separate"/>
            </w:r>
            <w:r w:rsidRPr="009A6FBA" w:rsidR="00AE436E">
              <w:rPr>
                <w:rStyle w:val="Hyperlink"/>
                <w:rFonts w:ascii="Arial" w:hAnsi="Arial" w:cs="Arial"/>
                <w:sz w:val="20"/>
                <w:szCs w:val="20"/>
              </w:rPr>
              <w:t>CSB sustainable market share index report</w:t>
            </w:r>
            <w:r>
              <w:fldChar w:fldCharType="end"/>
            </w:r>
            <w:r w:rsidRPr="009A6FBA" w:rsidR="00AE436E">
              <w:rPr>
                <w:rFonts w:ascii="Arial" w:hAnsi="Arial" w:cs="Arial"/>
                <w:sz w:val="20"/>
                <w:szCs w:val="20"/>
              </w:rPr>
              <w:t xml:space="preserve"> 2019</w:t>
            </w:r>
          </w:p>
          <w:p w:rsidR="00626768" w:rsidRPr="009A6FBA" w:rsidP="00781553">
            <w:pPr>
              <w:pStyle w:val="ListParagraph"/>
              <w:numPr>
                <w:ilvl w:val="0"/>
                <w:numId w:val="22"/>
              </w:numPr>
              <w:spacing w:before="60" w:after="60"/>
              <w:jc w:val="both"/>
              <w:rPr>
                <w:rFonts w:ascii="Arial" w:hAnsi="Arial" w:cs="Arial"/>
                <w:sz w:val="20"/>
                <w:szCs w:val="20"/>
              </w:rPr>
            </w:pPr>
            <w:r w:rsidRPr="009A6FBA">
              <w:rPr>
                <w:rFonts w:ascii="Arial" w:hAnsi="Arial" w:cs="Arial"/>
                <w:sz w:val="20"/>
                <w:szCs w:val="20"/>
              </w:rPr>
              <w:t xml:space="preserve">Consumer attitudes: </w:t>
            </w:r>
            <w:r>
              <w:fldChar w:fldCharType="begin"/>
            </w:r>
            <w:r>
              <w:instrText xml:space="preserve"> HYPERLINK "https://www.ecologique-solidaire.gouv.fr/sites/default/files/Th%C3%A9ma%20-%20L%E2%80%99affichage%20environnemental%2C%20pour%20une%20consommation%20plus%20verte.pdf" </w:instrText>
            </w:r>
            <w:r>
              <w:fldChar w:fldCharType="separate"/>
            </w:r>
            <w:r w:rsidRPr="009A6FBA">
              <w:rPr>
                <w:rStyle w:val="Hyperlink"/>
                <w:rFonts w:ascii="Arial" w:hAnsi="Arial" w:cs="Arial"/>
                <w:sz w:val="20"/>
                <w:szCs w:val="20"/>
              </w:rPr>
              <w:t>Consumer attitudes in France</w:t>
            </w:r>
            <w:r>
              <w:fldChar w:fldCharType="end"/>
            </w:r>
            <w:r w:rsidRPr="009A6FBA">
              <w:rPr>
                <w:rFonts w:ascii="Arial" w:hAnsi="Arial" w:cs="Arial"/>
                <w:sz w:val="20"/>
                <w:szCs w:val="20"/>
              </w:rPr>
              <w:t xml:space="preserve"> (2017), relevant Euromonitors</w:t>
            </w:r>
            <w:r w:rsidRPr="009A6FBA" w:rsidR="00781553">
              <w:rPr>
                <w:rFonts w:ascii="Arial" w:hAnsi="Arial" w:cs="Arial"/>
                <w:sz w:val="20"/>
                <w:szCs w:val="20"/>
              </w:rPr>
              <w:t xml:space="preserve">; </w:t>
            </w:r>
            <w:r>
              <w:fldChar w:fldCharType="begin"/>
            </w:r>
            <w:r>
              <w:instrText xml:space="preserve"> HYPERLINK "https://www.theconsumergoodsforum.com/wp-content/uploads/2018/10/CGF-Futerra-Transparency-and-the-Honest-Product.pdf?utm_source=TCGF+News+Release&amp;utm_campaign=d4a42f30cd-CGF-Futerra-Webinar&amp;utm_medium=email&amp;utm_term=0_0efe68d81b-d4a42f30cd-68042505" </w:instrText>
            </w:r>
            <w:r>
              <w:fldChar w:fldCharType="separate"/>
            </w:r>
            <w:r w:rsidRPr="009A6FBA" w:rsidR="00AE436E">
              <w:rPr>
                <w:rStyle w:val="Hyperlink"/>
                <w:rFonts w:ascii="Arial" w:hAnsi="Arial" w:cs="Arial"/>
                <w:sz w:val="20"/>
                <w:szCs w:val="20"/>
              </w:rPr>
              <w:t>The honest product</w:t>
            </w:r>
            <w:r>
              <w:fldChar w:fldCharType="end"/>
            </w:r>
            <w:r w:rsidRPr="009A6FBA" w:rsidR="00AE436E">
              <w:rPr>
                <w:rFonts w:ascii="Arial" w:hAnsi="Arial" w:cs="Arial"/>
                <w:sz w:val="20"/>
                <w:szCs w:val="20"/>
              </w:rPr>
              <w:t xml:space="preserve"> (Consumer Goods Forum and Futerra, 2018), </w:t>
            </w:r>
            <w:r>
              <w:fldChar w:fldCharType="begin"/>
            </w:r>
            <w:r>
              <w:instrText xml:space="preserve"> HYPERLINK "https://ec.europa.eu/environment/eussd/smgp/pdf/2018_pilotphase_commreport.pdf" </w:instrText>
            </w:r>
            <w:r>
              <w:fldChar w:fldCharType="separate"/>
            </w:r>
            <w:r w:rsidRPr="009A6FBA" w:rsidR="00781553">
              <w:rPr>
                <w:rStyle w:val="Hyperlink"/>
                <w:rFonts w:ascii="Arial" w:hAnsi="Arial" w:cs="Arial"/>
                <w:sz w:val="20"/>
                <w:szCs w:val="20"/>
              </w:rPr>
              <w:t>Assessment of different communication vehicles for providing Environmental Footprint information</w:t>
            </w:r>
            <w:r>
              <w:fldChar w:fldCharType="end"/>
            </w:r>
            <w:r w:rsidRPr="009A6FBA" w:rsidR="00781553">
              <w:rPr>
                <w:rFonts w:ascii="Arial" w:hAnsi="Arial" w:cs="Arial"/>
                <w:sz w:val="20"/>
                <w:szCs w:val="20"/>
              </w:rPr>
              <w:t xml:space="preserve">’ (2018), </w:t>
            </w:r>
            <w:r>
              <w:fldChar w:fldCharType="begin"/>
            </w:r>
            <w:r>
              <w:instrText xml:space="preserve"> HYPERLINK "https://ec.europa.eu/environment/eussd/smgp/pdf/2019_EF_commtest_report.pdf" </w:instrText>
            </w:r>
            <w:r>
              <w:fldChar w:fldCharType="separate"/>
            </w:r>
            <w:r w:rsidRPr="009A6FBA" w:rsidR="00781553">
              <w:rPr>
                <w:rStyle w:val="Hyperlink"/>
                <w:rFonts w:ascii="Arial" w:hAnsi="Arial" w:cs="Arial"/>
                <w:sz w:val="20"/>
                <w:szCs w:val="20"/>
              </w:rPr>
              <w:t>Consumer testing of alternatives for communicating the Environmental Footprint profile of products</w:t>
            </w:r>
            <w:r>
              <w:fldChar w:fldCharType="end"/>
            </w:r>
            <w:r w:rsidRPr="009A6FBA" w:rsidR="00781553">
              <w:rPr>
                <w:rFonts w:ascii="Arial" w:hAnsi="Arial" w:cs="Arial"/>
                <w:sz w:val="20"/>
                <w:szCs w:val="20"/>
              </w:rPr>
              <w:t xml:space="preserve"> (EC</w:t>
            </w:r>
            <w:r w:rsidRPr="009A6FBA" w:rsidR="00D60EE2">
              <w:rPr>
                <w:rFonts w:ascii="Arial" w:hAnsi="Arial" w:cs="Arial"/>
                <w:sz w:val="20"/>
                <w:szCs w:val="20"/>
              </w:rPr>
              <w:t xml:space="preserve"> </w:t>
            </w:r>
            <w:r w:rsidRPr="009A6FBA" w:rsidR="00781553">
              <w:rPr>
                <w:rFonts w:ascii="Arial" w:hAnsi="Arial" w:cs="Arial"/>
                <w:sz w:val="20"/>
                <w:szCs w:val="20"/>
              </w:rPr>
              <w:t xml:space="preserve"> 2019)</w:t>
            </w:r>
          </w:p>
          <w:p w:rsidR="00626768" w:rsidRPr="009A6FBA" w:rsidP="00626768">
            <w:pPr>
              <w:pStyle w:val="ListParagraph"/>
              <w:numPr>
                <w:ilvl w:val="0"/>
                <w:numId w:val="22"/>
              </w:numPr>
              <w:spacing w:before="60" w:after="60"/>
              <w:jc w:val="both"/>
              <w:rPr>
                <w:rFonts w:ascii="Arial" w:hAnsi="Arial" w:cs="Arial"/>
                <w:sz w:val="20"/>
                <w:szCs w:val="20"/>
              </w:rPr>
            </w:pPr>
            <w:r w:rsidRPr="009A6FBA">
              <w:rPr>
                <w:rFonts w:ascii="Arial" w:hAnsi="Arial" w:cs="Arial"/>
                <w:sz w:val="20"/>
                <w:szCs w:val="20"/>
              </w:rPr>
              <w:t xml:space="preserve">Company attitudes: </w:t>
            </w:r>
            <w:r>
              <w:fldChar w:fldCharType="begin"/>
            </w:r>
            <w:r>
              <w:instrText xml:space="preserve"> HYPERLINK "https://www.unglobalcompact.org/library/4331" </w:instrText>
            </w:r>
            <w:r>
              <w:fldChar w:fldCharType="separate"/>
            </w:r>
            <w:r w:rsidRPr="009A6FBA">
              <w:rPr>
                <w:rStyle w:val="Hyperlink"/>
                <w:rFonts w:ascii="Arial" w:hAnsi="Arial" w:cs="Arial"/>
                <w:sz w:val="20"/>
                <w:szCs w:val="20"/>
              </w:rPr>
              <w:t>UN Global Compact 2016 CEO study</w:t>
            </w:r>
            <w:r>
              <w:fldChar w:fldCharType="end"/>
            </w:r>
            <w:r w:rsidRPr="009A6FBA" w:rsidR="008D7829">
              <w:rPr>
                <w:rFonts w:ascii="Arial" w:hAnsi="Arial" w:cs="Arial"/>
                <w:sz w:val="20"/>
                <w:szCs w:val="20"/>
              </w:rPr>
              <w:t xml:space="preserve">, </w:t>
            </w:r>
            <w:r>
              <w:fldChar w:fldCharType="begin"/>
            </w:r>
            <w:r>
              <w:instrText xml:space="preserve"> HYPERLINK "https://www.unglobalcompact.org/library/5715" </w:instrText>
            </w:r>
            <w:r>
              <w:fldChar w:fldCharType="separate"/>
            </w:r>
            <w:r w:rsidRPr="009A6FBA" w:rsidR="008D7829">
              <w:rPr>
                <w:rStyle w:val="Hyperlink"/>
                <w:rFonts w:ascii="Arial" w:hAnsi="Arial" w:cs="Arial"/>
                <w:sz w:val="20"/>
                <w:szCs w:val="20"/>
              </w:rPr>
              <w:t>2019 edition of the same</w:t>
            </w:r>
            <w:r>
              <w:fldChar w:fldCharType="end"/>
            </w:r>
          </w:p>
          <w:p w:rsidR="00626768" w:rsidRPr="009A6FBA" w:rsidP="00A37E9B">
            <w:pPr>
              <w:pStyle w:val="ListParagraph"/>
              <w:numPr>
                <w:ilvl w:val="0"/>
                <w:numId w:val="22"/>
              </w:numPr>
              <w:spacing w:before="60" w:after="60"/>
              <w:jc w:val="both"/>
              <w:rPr>
                <w:rFonts w:ascii="Arial" w:hAnsi="Arial" w:cs="Arial"/>
                <w:sz w:val="20"/>
                <w:szCs w:val="20"/>
              </w:rPr>
            </w:pPr>
            <w:r w:rsidRPr="009A6FBA">
              <w:rPr>
                <w:rFonts w:ascii="Arial" w:hAnsi="Arial" w:cs="Arial"/>
                <w:sz w:val="20"/>
                <w:szCs w:val="20"/>
              </w:rPr>
              <w:t xml:space="preserve">Situation of SMEs: </w:t>
            </w:r>
            <w:r>
              <w:fldChar w:fldCharType="begin"/>
            </w:r>
            <w:r>
              <w:instrText xml:space="preserve"> HYPERLINK "http://data.europa.eu/euodp/en/data/dataset?tags=green+market" </w:instrText>
            </w:r>
            <w:r>
              <w:fldChar w:fldCharType="separate"/>
            </w:r>
            <w:r w:rsidRPr="009A6FBA">
              <w:rPr>
                <w:rStyle w:val="Hyperlink"/>
                <w:rFonts w:ascii="Arial" w:hAnsi="Arial" w:cs="Arial"/>
                <w:sz w:val="20"/>
                <w:szCs w:val="20"/>
              </w:rPr>
              <w:t>Eurobarometers</w:t>
            </w:r>
            <w:r>
              <w:fldChar w:fldCharType="end"/>
            </w:r>
            <w:r w:rsidRPr="009A6FBA">
              <w:rPr>
                <w:rFonts w:ascii="Arial" w:hAnsi="Arial" w:cs="Arial"/>
                <w:sz w:val="20"/>
                <w:szCs w:val="20"/>
              </w:rPr>
              <w:t xml:space="preserve"> on SMEs and green markets</w:t>
            </w:r>
            <w:r w:rsidRPr="009A6FBA" w:rsidR="00A37E9B">
              <w:rPr>
                <w:rFonts w:ascii="Arial" w:hAnsi="Arial" w:cs="Arial"/>
                <w:sz w:val="20"/>
                <w:szCs w:val="20"/>
              </w:rPr>
              <w:t>, results of the SME survey as part of the contract on ‘</w:t>
            </w:r>
            <w:r>
              <w:fldChar w:fldCharType="begin"/>
            </w:r>
            <w:r>
              <w:instrText xml:space="preserve"> HYPERLINK "https://ec.europa.eu/environment/eussd/smgp/pdf/2018_pilotphase_commreport.pdf" </w:instrText>
            </w:r>
            <w:r>
              <w:fldChar w:fldCharType="separate"/>
            </w:r>
            <w:r w:rsidRPr="009A6FBA" w:rsidR="00A37E9B">
              <w:rPr>
                <w:rStyle w:val="Hyperlink"/>
                <w:rFonts w:ascii="Arial" w:hAnsi="Arial" w:cs="Arial"/>
                <w:sz w:val="20"/>
                <w:szCs w:val="20"/>
              </w:rPr>
              <w:t>Assessment of different communication vehicles for providing Environmental Footprint information</w:t>
            </w:r>
            <w:r>
              <w:fldChar w:fldCharType="end"/>
            </w:r>
            <w:r w:rsidRPr="009A6FBA" w:rsidR="00A37E9B">
              <w:rPr>
                <w:rFonts w:ascii="Arial" w:hAnsi="Arial" w:cs="Arial"/>
                <w:sz w:val="20"/>
                <w:szCs w:val="20"/>
              </w:rPr>
              <w:t>’ (2018)</w:t>
            </w:r>
          </w:p>
          <w:p w:rsidR="00626768" w:rsidRPr="009A6FBA" w:rsidP="005C72A8">
            <w:pPr>
              <w:pStyle w:val="ListParagraph"/>
              <w:numPr>
                <w:ilvl w:val="0"/>
                <w:numId w:val="22"/>
              </w:numPr>
              <w:spacing w:before="60" w:after="60"/>
              <w:jc w:val="both"/>
              <w:rPr>
                <w:rFonts w:ascii="Arial" w:hAnsi="Arial" w:cs="Arial"/>
                <w:sz w:val="20"/>
                <w:szCs w:val="20"/>
              </w:rPr>
            </w:pPr>
            <w:r w:rsidRPr="009A6FBA">
              <w:rPr>
                <w:rFonts w:ascii="Arial" w:hAnsi="Arial" w:cs="Arial"/>
                <w:sz w:val="20"/>
                <w:szCs w:val="20"/>
              </w:rPr>
              <w:t xml:space="preserve">Studies on green claims &amp; green labels: </w:t>
            </w:r>
            <w:r>
              <w:fldChar w:fldCharType="begin"/>
            </w:r>
            <w:r>
              <w:instrText xml:space="preserve"> HYPERLINK "https://ec.europa.eu/info/sites/info/files/study_on_environmetal_claims_for_non_food_products_2014_en.pdf" </w:instrText>
            </w:r>
            <w:r>
              <w:fldChar w:fldCharType="separate"/>
            </w:r>
            <w:r w:rsidRPr="009A6FBA">
              <w:rPr>
                <w:rStyle w:val="Hyperlink"/>
                <w:rFonts w:ascii="Arial" w:hAnsi="Arial" w:cs="Arial"/>
                <w:sz w:val="20"/>
                <w:szCs w:val="20"/>
              </w:rPr>
              <w:t>DG Just 2014</w:t>
            </w:r>
            <w:r>
              <w:fldChar w:fldCharType="end"/>
            </w:r>
            <w:r w:rsidRPr="009A6FBA">
              <w:rPr>
                <w:rFonts w:ascii="Arial" w:hAnsi="Arial" w:cs="Arial"/>
                <w:sz w:val="20"/>
                <w:szCs w:val="20"/>
              </w:rPr>
              <w:t xml:space="preserve">; </w:t>
            </w:r>
            <w:r>
              <w:fldChar w:fldCharType="begin"/>
            </w:r>
            <w:r>
              <w:instrText xml:space="preserve"> HYPERLINK "https://www.oecd.org/sd-roundtable/papersandpublications/39362947.pdf" </w:instrText>
            </w:r>
            <w:r>
              <w:fldChar w:fldCharType="separate"/>
            </w:r>
            <w:r w:rsidRPr="009A6FBA">
              <w:rPr>
                <w:rStyle w:val="Hyperlink"/>
                <w:rFonts w:ascii="Arial" w:hAnsi="Arial" w:cs="Arial"/>
                <w:sz w:val="20"/>
                <w:szCs w:val="20"/>
              </w:rPr>
              <w:t>OECD 2006</w:t>
            </w:r>
            <w:r>
              <w:fldChar w:fldCharType="end"/>
            </w:r>
            <w:r w:rsidRPr="009A6FBA">
              <w:rPr>
                <w:rFonts w:ascii="Arial" w:hAnsi="Arial" w:cs="Arial"/>
                <w:sz w:val="20"/>
                <w:szCs w:val="20"/>
              </w:rPr>
              <w:t xml:space="preserve">, </w:t>
            </w:r>
            <w:r>
              <w:fldChar w:fldCharType="begin"/>
            </w:r>
            <w:r>
              <w:instrText xml:space="preserve"> HYPERLINK "https://www.unenvironment.org/resources/report/raising-bar-advancing-environmental-disclosure-sustainability-reporting" </w:instrText>
            </w:r>
            <w:r>
              <w:fldChar w:fldCharType="separate"/>
            </w:r>
            <w:r w:rsidRPr="009A6FBA">
              <w:rPr>
                <w:rStyle w:val="Hyperlink"/>
                <w:rFonts w:ascii="Arial" w:hAnsi="Arial" w:cs="Arial"/>
                <w:sz w:val="20"/>
                <w:szCs w:val="20"/>
              </w:rPr>
              <w:t>UNEP study on reporting</w:t>
            </w:r>
            <w:r>
              <w:fldChar w:fldCharType="end"/>
            </w:r>
            <w:r w:rsidRPr="009A6FBA">
              <w:rPr>
                <w:rFonts w:ascii="Arial" w:hAnsi="Arial" w:cs="Arial"/>
                <w:sz w:val="20"/>
                <w:szCs w:val="20"/>
              </w:rPr>
              <w:t xml:space="preserve"> (2015), UNEP study on </w:t>
            </w:r>
            <w:r>
              <w:fldChar w:fldCharType="begin"/>
            </w:r>
            <w:r>
              <w:instrText xml:space="preserve"> HYPERLINK "http://www.lifecycleinitiative.org/wp-content/uploads/2015/07/PSI_28.7.15-web.pdf" </w:instrText>
            </w:r>
            <w:r>
              <w:fldChar w:fldCharType="separate"/>
            </w:r>
            <w:r w:rsidRPr="009A6FBA">
              <w:rPr>
                <w:rStyle w:val="Hyperlink"/>
                <w:rFonts w:ascii="Arial" w:hAnsi="Arial" w:cs="Arial"/>
                <w:sz w:val="20"/>
                <w:szCs w:val="20"/>
              </w:rPr>
              <w:t>product sustainability information</w:t>
            </w:r>
            <w:r>
              <w:fldChar w:fldCharType="end"/>
            </w:r>
            <w:r w:rsidRPr="009A6FBA">
              <w:rPr>
                <w:rFonts w:ascii="Arial" w:hAnsi="Arial" w:cs="Arial"/>
                <w:sz w:val="20"/>
                <w:szCs w:val="20"/>
              </w:rPr>
              <w:t xml:space="preserve"> (2015)</w:t>
            </w:r>
            <w:r w:rsidRPr="009A6FBA" w:rsidR="005C72A8">
              <w:rPr>
                <w:rFonts w:ascii="Arial" w:hAnsi="Arial" w:cs="Arial"/>
                <w:sz w:val="20"/>
                <w:szCs w:val="20"/>
              </w:rPr>
              <w:t>; we are kicking of a study on ‘Environmental claims in the EU: inventory and reliability assessment’ (results expected to be available mid-2020);</w:t>
            </w:r>
          </w:p>
          <w:p w:rsidR="0067443D" w:rsidRPr="009A6FBA" w:rsidP="00626768">
            <w:pPr>
              <w:pStyle w:val="ListParagraph"/>
              <w:numPr>
                <w:ilvl w:val="0"/>
                <w:numId w:val="22"/>
              </w:numPr>
              <w:spacing w:before="60" w:after="60"/>
              <w:jc w:val="both"/>
              <w:rPr>
                <w:rFonts w:ascii="Arial" w:hAnsi="Arial" w:cs="Arial"/>
                <w:sz w:val="20"/>
                <w:szCs w:val="20"/>
              </w:rPr>
            </w:pPr>
            <w:r w:rsidRPr="009A6FBA">
              <w:rPr>
                <w:rFonts w:ascii="Arial" w:hAnsi="Arial" w:cs="Arial"/>
                <w:sz w:val="20"/>
                <w:szCs w:val="20"/>
              </w:rPr>
              <w:t xml:space="preserve">Investors and sustainable investment: evolution of investor backing to leading schemes (e.g. SRI, CDP), </w:t>
            </w:r>
            <w:r>
              <w:fldChar w:fldCharType="begin"/>
            </w:r>
            <w:r>
              <w:instrText xml:space="preserve"> HYPERLINK "https://www.arabesque.com/2020/02/04/from-the-stockholder-to-the-stakeholder/" </w:instrText>
            </w:r>
            <w:r>
              <w:fldChar w:fldCharType="separate"/>
            </w:r>
            <w:r w:rsidRPr="009A6FBA">
              <w:rPr>
                <w:rStyle w:val="Hyperlink"/>
                <w:rFonts w:ascii="Arial" w:hAnsi="Arial" w:cs="Arial"/>
                <w:sz w:val="20"/>
                <w:szCs w:val="20"/>
              </w:rPr>
              <w:t>University of Oxford &amp; Arabesque, 2015</w:t>
            </w:r>
            <w:r>
              <w:fldChar w:fldCharType="end"/>
            </w:r>
            <w:r w:rsidRPr="009A6FBA">
              <w:rPr>
                <w:rFonts w:ascii="Arial" w:hAnsi="Arial" w:cs="Arial"/>
                <w:sz w:val="20"/>
                <w:szCs w:val="20"/>
              </w:rPr>
              <w:t xml:space="preserve">; </w:t>
            </w:r>
            <w:r>
              <w:fldChar w:fldCharType="begin"/>
            </w:r>
            <w:r>
              <w:instrText xml:space="preserve"> HYPERLINK "https://www.issuelab.org/resource/project-roi-report-defining-the-competitive-and-financial-advantages-of-corporate-responsibility-and-sustainability.html" </w:instrText>
            </w:r>
            <w:r>
              <w:fldChar w:fldCharType="separate"/>
            </w:r>
            <w:r w:rsidRPr="009A6FBA">
              <w:rPr>
                <w:rStyle w:val="Hyperlink"/>
                <w:rFonts w:ascii="Arial" w:hAnsi="Arial" w:cs="Arial"/>
                <w:sz w:val="20"/>
                <w:szCs w:val="20"/>
              </w:rPr>
              <w:t>Project ROI, 2015</w:t>
            </w:r>
            <w:r>
              <w:fldChar w:fldCharType="end"/>
            </w:r>
            <w:r w:rsidRPr="009A6FBA">
              <w:rPr>
                <w:rFonts w:ascii="Arial" w:hAnsi="Arial" w:cs="Arial"/>
                <w:sz w:val="20"/>
                <w:szCs w:val="20"/>
              </w:rPr>
              <w:t>, Climate value at risk (</w:t>
            </w:r>
            <w:r>
              <w:fldChar w:fldCharType="begin"/>
            </w:r>
            <w:r>
              <w:instrText xml:space="preserve"> HYPERLINK "http://www.nature.com/nclimate/journal/v6/n7/full/nclimate2972.html" </w:instrText>
            </w:r>
            <w:r>
              <w:fldChar w:fldCharType="separate"/>
            </w:r>
            <w:r w:rsidRPr="009A6FBA">
              <w:rPr>
                <w:rStyle w:val="Hyperlink"/>
                <w:rFonts w:ascii="Arial" w:hAnsi="Arial" w:cs="Arial"/>
                <w:sz w:val="20"/>
                <w:szCs w:val="20"/>
              </w:rPr>
              <w:t>LSE 2016</w:t>
            </w:r>
            <w:r>
              <w:fldChar w:fldCharType="end"/>
            </w:r>
            <w:r w:rsidRPr="009A6FBA">
              <w:rPr>
                <w:rFonts w:ascii="Arial" w:hAnsi="Arial" w:cs="Arial"/>
                <w:sz w:val="20"/>
                <w:szCs w:val="20"/>
              </w:rPr>
              <w:t xml:space="preserve">), </w:t>
            </w:r>
            <w:r>
              <w:fldChar w:fldCharType="begin"/>
            </w:r>
            <w:r>
              <w:instrText xml:space="preserve"> HYPERLINK "https://ec.europa.eu/info/publications/180131-sustainable-finance-report_en" </w:instrText>
            </w:r>
            <w:r>
              <w:fldChar w:fldCharType="separate"/>
            </w:r>
            <w:r w:rsidRPr="009A6FBA">
              <w:rPr>
                <w:rStyle w:val="Hyperlink"/>
                <w:rFonts w:ascii="Arial" w:hAnsi="Arial" w:cs="Arial"/>
                <w:sz w:val="20"/>
                <w:szCs w:val="20"/>
              </w:rPr>
              <w:t>final report</w:t>
            </w:r>
            <w:r>
              <w:fldChar w:fldCharType="end"/>
            </w:r>
            <w:r w:rsidRPr="009A6FBA" w:rsidR="00433F3D">
              <w:rPr>
                <w:rFonts w:ascii="Arial" w:hAnsi="Arial" w:cs="Arial"/>
                <w:sz w:val="20"/>
                <w:szCs w:val="20"/>
              </w:rPr>
              <w:t xml:space="preserve"> </w:t>
            </w:r>
            <w:r w:rsidRPr="009A6FBA">
              <w:rPr>
                <w:rFonts w:ascii="Arial" w:hAnsi="Arial" w:cs="Arial"/>
                <w:sz w:val="20"/>
                <w:szCs w:val="20"/>
              </w:rPr>
              <w:t>of the high level expert group on sustainable finance 201</w:t>
            </w:r>
            <w:r w:rsidRPr="009A6FBA">
              <w:rPr>
                <w:rFonts w:ascii="Arial" w:hAnsi="Arial" w:cs="Arial"/>
                <w:sz w:val="20"/>
                <w:szCs w:val="20"/>
              </w:rPr>
              <w:t>8</w:t>
            </w:r>
            <w:r w:rsidRPr="009A6FBA">
              <w:rPr>
                <w:rFonts w:ascii="Arial" w:hAnsi="Arial" w:cs="Arial"/>
                <w:sz w:val="20"/>
                <w:szCs w:val="20"/>
              </w:rPr>
              <w:t>.</w:t>
            </w:r>
          </w:p>
          <w:p w:rsidR="00626768" w:rsidRPr="009A6FBA" w:rsidP="00626768">
            <w:pPr>
              <w:spacing w:before="60" w:after="60"/>
              <w:jc w:val="both"/>
              <w:rPr>
                <w:rFonts w:ascii="Arial" w:hAnsi="Arial" w:cs="Arial"/>
                <w:sz w:val="20"/>
                <w:szCs w:val="20"/>
              </w:rPr>
            </w:pPr>
          </w:p>
          <w:p w:rsidR="00626768" w:rsidRPr="009A6FBA" w:rsidP="00626768">
            <w:pPr>
              <w:spacing w:before="60" w:after="60"/>
              <w:jc w:val="both"/>
              <w:rPr>
                <w:rFonts w:ascii="Arial" w:hAnsi="Arial" w:cs="Arial"/>
                <w:sz w:val="20"/>
                <w:szCs w:val="20"/>
              </w:rPr>
            </w:pPr>
            <w:r w:rsidRPr="009A6FBA">
              <w:rPr>
                <w:rFonts w:ascii="Arial" w:hAnsi="Arial" w:cs="Arial"/>
                <w:sz w:val="20"/>
                <w:szCs w:val="20"/>
              </w:rPr>
              <w:t>Information from the different evaluation strands related to the Environmental Footprint pilot phase will be used (</w:t>
            </w:r>
            <w:r>
              <w:fldChar w:fldCharType="begin"/>
            </w:r>
            <w:r>
              <w:instrText xml:space="preserve"> HYPERLINK "https://ec.europa.eu/environment/eussd/smgp/PEFCR_OEFSR_en.htm" \l "reports-footprint" </w:instrText>
            </w:r>
            <w:r>
              <w:fldChar w:fldCharType="separate"/>
            </w:r>
            <w:r w:rsidRPr="009A6FBA">
              <w:rPr>
                <w:rStyle w:val="Hyperlink"/>
                <w:rFonts w:ascii="Arial" w:hAnsi="Arial" w:cs="Arial"/>
                <w:sz w:val="20"/>
                <w:szCs w:val="20"/>
              </w:rPr>
              <w:t>reports</w:t>
            </w:r>
            <w:r>
              <w:fldChar w:fldCharType="end"/>
            </w:r>
            <w:r w:rsidRPr="009A6FBA">
              <w:rPr>
                <w:rFonts w:ascii="Arial" w:hAnsi="Arial" w:cs="Arial"/>
                <w:sz w:val="20"/>
                <w:szCs w:val="20"/>
              </w:rPr>
              <w:t xml:space="preserve"> on verification, communication, peer review, helpdesk report on technical </w:t>
            </w:r>
            <w:r w:rsidRPr="009A6FBA" w:rsidR="0067443D">
              <w:rPr>
                <w:rFonts w:ascii="Arial" w:hAnsi="Arial" w:cs="Arial"/>
                <w:sz w:val="20"/>
                <w:szCs w:val="20"/>
              </w:rPr>
              <w:t>evaluation</w:t>
            </w:r>
            <w:r w:rsidRPr="009A6FBA">
              <w:rPr>
                <w:rFonts w:ascii="Arial" w:hAnsi="Arial" w:cs="Arial"/>
                <w:sz w:val="20"/>
                <w:szCs w:val="20"/>
              </w:rPr>
              <w:t xml:space="preserve">). The </w:t>
            </w:r>
            <w:r>
              <w:fldChar w:fldCharType="begin"/>
            </w:r>
            <w:r>
              <w:instrText xml:space="preserve"> HYPERLINK "http://ec.europa.eu/environment/emas/emas_publications/policy/fitness_check_en.htm" </w:instrText>
            </w:r>
            <w:r>
              <w:fldChar w:fldCharType="separate"/>
            </w:r>
            <w:r w:rsidRPr="009A6FBA">
              <w:rPr>
                <w:rStyle w:val="Hyperlink"/>
                <w:rFonts w:ascii="Arial" w:hAnsi="Arial" w:cs="Arial"/>
                <w:sz w:val="20"/>
                <w:szCs w:val="20"/>
              </w:rPr>
              <w:t>Fitness Check</w:t>
            </w:r>
            <w:r>
              <w:fldChar w:fldCharType="end"/>
            </w:r>
            <w:r w:rsidRPr="009A6FBA">
              <w:rPr>
                <w:rFonts w:ascii="Arial" w:hAnsi="Arial" w:cs="Arial"/>
                <w:sz w:val="20"/>
                <w:szCs w:val="20"/>
              </w:rPr>
              <w:t xml:space="preserve"> of EU Ecolabel and EMAS is also relevant. </w:t>
            </w:r>
            <w:r w:rsidRPr="009A6FBA">
              <w:rPr>
                <w:rFonts w:ascii="Arial" w:hAnsi="Arial" w:cs="Arial"/>
                <w:sz w:val="20"/>
                <w:szCs w:val="20"/>
              </w:rPr>
              <w:t>Further evidence will be gathered</w:t>
            </w:r>
            <w:r w:rsidRPr="009A6FBA" w:rsidR="005C72A8">
              <w:rPr>
                <w:rFonts w:ascii="Arial" w:hAnsi="Arial" w:cs="Arial"/>
                <w:sz w:val="20"/>
                <w:szCs w:val="20"/>
              </w:rPr>
              <w:t xml:space="preserve">, </w:t>
            </w:r>
            <w:r w:rsidRPr="009A6FBA">
              <w:rPr>
                <w:rFonts w:ascii="Arial" w:hAnsi="Arial" w:cs="Arial"/>
                <w:sz w:val="20"/>
                <w:szCs w:val="20"/>
              </w:rPr>
              <w:t>particularly for quantifying economic, social and environmental impacts of the different policy options</w:t>
            </w:r>
            <w:r w:rsidRPr="009A6FBA" w:rsidR="001C284E">
              <w:rPr>
                <w:rFonts w:ascii="Arial" w:hAnsi="Arial" w:cs="Arial"/>
                <w:sz w:val="20"/>
                <w:szCs w:val="20"/>
              </w:rPr>
              <w:t>.</w:t>
            </w:r>
            <w:r w:rsidRPr="009A6FBA">
              <w:rPr>
                <w:rFonts w:ascii="Arial" w:hAnsi="Arial" w:cs="Arial"/>
                <w:sz w:val="20"/>
                <w:szCs w:val="20"/>
              </w:rPr>
              <w:t xml:space="preserve"> </w:t>
            </w:r>
          </w:p>
          <w:p w:rsidR="00626768" w:rsidRPr="009A6FBA" w:rsidP="00626768">
            <w:pPr>
              <w:spacing w:before="60" w:after="60"/>
              <w:jc w:val="both"/>
              <w:rPr>
                <w:rFonts w:ascii="Arial" w:hAnsi="Arial" w:cs="Arial"/>
                <w:color w:val="1036A0"/>
                <w:sz w:val="20"/>
                <w:szCs w:val="20"/>
              </w:rPr>
            </w:pPr>
          </w:p>
        </w:tc>
      </w:tr>
      <w:tr w:rsidTr="007F50CF">
        <w:tblPrEx>
          <w:tblW w:w="10314" w:type="dxa"/>
          <w:tblLook w:val="01E0"/>
        </w:tblPrEx>
        <w:tc>
          <w:tcPr>
            <w:tcW w:w="10314" w:type="dxa"/>
            <w:tcBorders>
              <w:bottom w:val="single" w:sz="4" w:space="0" w:color="auto"/>
            </w:tcBorders>
            <w:shd w:val="clear" w:color="auto" w:fill="E6E6E6"/>
          </w:tcPr>
          <w:p w:rsidR="00E67B71" w:rsidRPr="009A6FBA">
            <w:pPr>
              <w:spacing w:before="60" w:after="60"/>
              <w:jc w:val="both"/>
              <w:rPr>
                <w:rFonts w:ascii="Arial" w:hAnsi="Arial" w:cs="Arial"/>
                <w:sz w:val="20"/>
                <w:szCs w:val="20"/>
              </w:rPr>
            </w:pPr>
            <w:r>
              <w:rPr>
                <w:rFonts w:ascii="Arial" w:hAnsi="Arial" w:cs="Arial"/>
                <w:b/>
                <w:sz w:val="20"/>
                <w:szCs w:val="20"/>
              </w:rPr>
              <w:t>Consultation</w:t>
            </w:r>
            <w:r w:rsidRPr="009A6FBA" w:rsidR="00D16B64">
              <w:rPr>
                <w:rFonts w:ascii="Arial" w:hAnsi="Arial" w:cs="Arial"/>
                <w:b/>
                <w:sz w:val="20"/>
                <w:szCs w:val="20"/>
              </w:rPr>
              <w:t xml:space="preserve"> of citizens and stakeholders</w:t>
            </w:r>
          </w:p>
        </w:tc>
      </w:tr>
      <w:tr w:rsidTr="007F50CF">
        <w:tblPrEx>
          <w:tblW w:w="10314" w:type="dxa"/>
          <w:tblLook w:val="01E0"/>
        </w:tblPrEx>
        <w:tc>
          <w:tcPr>
            <w:tcW w:w="10314" w:type="dxa"/>
            <w:tcBorders>
              <w:bottom w:val="single" w:sz="4" w:space="0" w:color="auto"/>
            </w:tcBorders>
            <w:shd w:val="clear" w:color="auto" w:fill="auto"/>
          </w:tcPr>
          <w:p w:rsidR="00FD1EA9" w:rsidRPr="009A6FBA" w:rsidP="005D7950">
            <w:pPr>
              <w:spacing w:before="60" w:after="60"/>
              <w:jc w:val="both"/>
              <w:rPr>
                <w:rFonts w:ascii="Arial" w:hAnsi="Arial" w:cs="Arial"/>
                <w:sz w:val="20"/>
                <w:szCs w:val="20"/>
              </w:rPr>
            </w:pPr>
            <w:r w:rsidRPr="009A6FBA">
              <w:rPr>
                <w:rFonts w:ascii="Arial" w:hAnsi="Arial" w:cs="Arial"/>
                <w:sz w:val="20"/>
                <w:szCs w:val="20"/>
              </w:rPr>
              <w:t>The public consultation will focus on gathering the opinion of stakeholder</w:t>
            </w:r>
            <w:r w:rsidRPr="009A6FBA" w:rsidR="00644DBD">
              <w:rPr>
                <w:rFonts w:ascii="Arial" w:hAnsi="Arial" w:cs="Arial"/>
                <w:sz w:val="20"/>
                <w:szCs w:val="20"/>
              </w:rPr>
              <w:t>s</w:t>
            </w:r>
            <w:r w:rsidRPr="009A6FBA">
              <w:rPr>
                <w:rFonts w:ascii="Arial" w:hAnsi="Arial" w:cs="Arial"/>
                <w:sz w:val="20"/>
                <w:szCs w:val="20"/>
              </w:rPr>
              <w:t xml:space="preserve"> regarding future policy applications of the E</w:t>
            </w:r>
            <w:r w:rsidRPr="009A6FBA" w:rsidR="006A5E5A">
              <w:rPr>
                <w:rFonts w:ascii="Arial" w:hAnsi="Arial" w:cs="Arial"/>
                <w:sz w:val="20"/>
                <w:szCs w:val="20"/>
              </w:rPr>
              <w:t xml:space="preserve">nvironmental </w:t>
            </w:r>
            <w:r w:rsidRPr="009A6FBA">
              <w:rPr>
                <w:rFonts w:ascii="Arial" w:hAnsi="Arial" w:cs="Arial"/>
                <w:sz w:val="20"/>
                <w:szCs w:val="20"/>
              </w:rPr>
              <w:t>F</w:t>
            </w:r>
            <w:r w:rsidRPr="009A6FBA" w:rsidR="006A5E5A">
              <w:rPr>
                <w:rFonts w:ascii="Arial" w:hAnsi="Arial" w:cs="Arial"/>
                <w:sz w:val="20"/>
                <w:szCs w:val="20"/>
              </w:rPr>
              <w:t>ootprint</w:t>
            </w:r>
            <w:r w:rsidRPr="009A6FBA">
              <w:rPr>
                <w:rFonts w:ascii="Arial" w:hAnsi="Arial" w:cs="Arial"/>
                <w:sz w:val="20"/>
                <w:szCs w:val="20"/>
              </w:rPr>
              <w:t xml:space="preserve"> methods.</w:t>
            </w:r>
            <w:r w:rsidRPr="009A6FBA" w:rsidR="00DF7334">
              <w:rPr>
                <w:rFonts w:ascii="Arial" w:hAnsi="Arial" w:cs="Arial"/>
                <w:sz w:val="20"/>
                <w:szCs w:val="20"/>
              </w:rPr>
              <w:t xml:space="preserve"> </w:t>
            </w:r>
            <w:r w:rsidRPr="009A6FBA" w:rsidR="00DF7334">
              <w:rPr>
                <w:rFonts w:ascii="Arial" w:hAnsi="Arial" w:eastAsiaTheme="minorEastAsia" w:cs="Arial"/>
                <w:sz w:val="20"/>
                <w:szCs w:val="20"/>
                <w:lang w:eastAsia="zh-CN"/>
              </w:rPr>
              <w:t xml:space="preserve">The launch of </w:t>
            </w:r>
            <w:r w:rsidR="00BE3680">
              <w:rPr>
                <w:rFonts w:ascii="Arial" w:hAnsi="Arial" w:eastAsiaTheme="minorEastAsia" w:cs="Arial"/>
                <w:sz w:val="20"/>
                <w:szCs w:val="20"/>
                <w:lang w:eastAsia="zh-CN"/>
              </w:rPr>
              <w:t>public</w:t>
            </w:r>
            <w:r w:rsidRPr="009A6FBA" w:rsidR="00BE3680">
              <w:rPr>
                <w:rFonts w:ascii="Arial" w:hAnsi="Arial" w:eastAsiaTheme="minorEastAsia" w:cs="Arial"/>
                <w:sz w:val="20"/>
                <w:szCs w:val="20"/>
                <w:lang w:eastAsia="zh-CN"/>
              </w:rPr>
              <w:t xml:space="preserve"> </w:t>
            </w:r>
            <w:r w:rsidRPr="009A6FBA" w:rsidR="00DF7334">
              <w:rPr>
                <w:rFonts w:ascii="Arial" w:hAnsi="Arial" w:eastAsiaTheme="minorEastAsia" w:cs="Arial"/>
                <w:sz w:val="20"/>
                <w:szCs w:val="20"/>
                <w:lang w:eastAsia="zh-CN"/>
              </w:rPr>
              <w:t>consultation related to this initiative will be</w:t>
            </w:r>
            <w:r w:rsidRPr="009A6FBA" w:rsidR="006509DB">
              <w:rPr>
                <w:rFonts w:ascii="Arial" w:hAnsi="Arial" w:eastAsiaTheme="minorEastAsia" w:cs="Arial"/>
                <w:sz w:val="20"/>
                <w:szCs w:val="20"/>
                <w:lang w:eastAsia="zh-CN"/>
              </w:rPr>
              <w:t xml:space="preserve"> </w:t>
            </w:r>
            <w:r w:rsidRPr="009A6FBA" w:rsidR="00DF7334">
              <w:rPr>
                <w:rFonts w:ascii="Arial" w:hAnsi="Arial" w:eastAsiaTheme="minorEastAsia" w:cs="Arial"/>
                <w:sz w:val="20"/>
                <w:szCs w:val="20"/>
                <w:lang w:eastAsia="zh-CN"/>
              </w:rPr>
              <w:t xml:space="preserve">announced </w:t>
            </w:r>
            <w:r w:rsidRPr="005A7CD3" w:rsidR="00BE3680">
              <w:rPr>
                <w:rFonts w:ascii="Arial" w:hAnsi="Arial" w:eastAsiaTheme="minorEastAsia" w:cs="Arial"/>
                <w:sz w:val="20"/>
                <w:szCs w:val="20"/>
                <w:lang w:eastAsia="zh-CN"/>
              </w:rPr>
              <w:t>on</w:t>
            </w:r>
            <w:r w:rsidR="00BE3680">
              <w:rPr>
                <w:rFonts w:ascii="Arial" w:hAnsi="Arial" w:eastAsiaTheme="minorEastAsia" w:cs="Arial"/>
                <w:sz w:val="20"/>
                <w:szCs w:val="20"/>
                <w:lang w:eastAsia="zh-CN"/>
              </w:rPr>
              <w:t xml:space="preserve"> ‘</w:t>
            </w:r>
            <w:r>
              <w:fldChar w:fldCharType="begin"/>
            </w:r>
            <w:r>
              <w:instrText xml:space="preserve"> HYPERLINK "https://ec.europa.eu/info/law/better-regulation/have-your-say" </w:instrText>
            </w:r>
            <w:r>
              <w:fldChar w:fldCharType="separate"/>
            </w:r>
            <w:r w:rsidRPr="005A7CD3" w:rsidR="00BE3680">
              <w:rPr>
                <w:rStyle w:val="Hyperlink"/>
                <w:rFonts w:ascii="Arial" w:hAnsi="Arial" w:eastAsiaTheme="minorEastAsia" w:cs="Arial"/>
                <w:sz w:val="20"/>
                <w:szCs w:val="20"/>
                <w:lang w:eastAsia="zh-CN"/>
              </w:rPr>
              <w:t>Have your say</w:t>
            </w:r>
            <w:r>
              <w:fldChar w:fldCharType="end"/>
            </w:r>
            <w:r w:rsidR="00BE3680">
              <w:rPr>
                <w:rFonts w:ascii="Arial" w:hAnsi="Arial" w:eastAsiaTheme="minorEastAsia" w:cs="Arial"/>
                <w:sz w:val="20"/>
                <w:szCs w:val="20"/>
                <w:lang w:eastAsia="zh-CN"/>
              </w:rPr>
              <w:t>’</w:t>
            </w:r>
            <w:r w:rsidRPr="009A6FBA" w:rsidR="00DF7334">
              <w:rPr>
                <w:rFonts w:ascii="Arial" w:hAnsi="Arial" w:eastAsiaTheme="minorEastAsia" w:cs="Arial"/>
                <w:sz w:val="20"/>
                <w:szCs w:val="20"/>
                <w:lang w:eastAsia="zh-CN"/>
              </w:rPr>
              <w:t>.</w:t>
            </w:r>
            <w:r w:rsidRPr="009A6FBA" w:rsidR="000C688F">
              <w:rPr>
                <w:rFonts w:ascii="Arial" w:hAnsi="Arial" w:eastAsiaTheme="minorEastAsia" w:cs="Arial"/>
                <w:sz w:val="20"/>
                <w:szCs w:val="20"/>
                <w:lang w:eastAsia="zh-CN"/>
              </w:rPr>
              <w:t xml:space="preserve"> </w:t>
            </w:r>
            <w:r w:rsidR="00BE3680">
              <w:rPr>
                <w:rFonts w:ascii="Arial" w:hAnsi="Arial" w:eastAsiaTheme="minorEastAsia" w:cs="Arial"/>
                <w:sz w:val="20"/>
                <w:szCs w:val="20"/>
                <w:lang w:eastAsia="zh-CN"/>
              </w:rPr>
              <w:t>Other consultation activities</w:t>
            </w:r>
            <w:r w:rsidRPr="009A6FBA" w:rsidR="001E0652">
              <w:rPr>
                <w:rFonts w:ascii="Arial" w:hAnsi="Arial" w:eastAsiaTheme="minorEastAsia" w:cs="Arial"/>
                <w:sz w:val="20"/>
                <w:szCs w:val="20"/>
                <w:lang w:eastAsia="zh-CN"/>
              </w:rPr>
              <w:t xml:space="preserve"> a</w:t>
            </w:r>
            <w:r w:rsidRPr="009A6FBA" w:rsidR="000C688F">
              <w:rPr>
                <w:rFonts w:ascii="Arial" w:hAnsi="Arial" w:eastAsiaTheme="minorEastAsia" w:cs="Arial"/>
                <w:sz w:val="20"/>
                <w:szCs w:val="20"/>
                <w:lang w:eastAsia="zh-CN"/>
              </w:rPr>
              <w:t xml:space="preserve"> stakeholder workshop</w:t>
            </w:r>
            <w:r w:rsidRPr="009A6FBA" w:rsidR="00837001">
              <w:rPr>
                <w:rFonts w:ascii="Arial" w:hAnsi="Arial" w:cs="Arial"/>
                <w:sz w:val="20"/>
                <w:szCs w:val="20"/>
              </w:rPr>
              <w:t xml:space="preserve">, </w:t>
            </w:r>
            <w:r w:rsidRPr="009A6FBA" w:rsidR="001E0652">
              <w:rPr>
                <w:rFonts w:ascii="Arial" w:hAnsi="Arial" w:cs="Arial"/>
                <w:sz w:val="20"/>
                <w:szCs w:val="20"/>
              </w:rPr>
              <w:t xml:space="preserve">feedback from Member State representatives through the Commission expert group on Sustainable Production and Consumption, and its sub-group on the Environmental Footprint transition phase, </w:t>
            </w:r>
            <w:r w:rsidRPr="009A6FBA" w:rsidR="006A1827">
              <w:rPr>
                <w:rFonts w:ascii="Arial" w:hAnsi="Arial" w:cs="Arial"/>
                <w:sz w:val="20"/>
                <w:szCs w:val="20"/>
              </w:rPr>
              <w:t>a specific consultation with</w:t>
            </w:r>
            <w:r w:rsidRPr="009A6FBA" w:rsidR="006A1827">
              <w:rPr>
                <w:rFonts w:ascii="Arial" w:hAnsi="Arial" w:cs="Arial"/>
              </w:rPr>
              <w:t xml:space="preserve"> </w:t>
            </w:r>
            <w:r w:rsidRPr="009A6FBA" w:rsidR="006A1827">
              <w:rPr>
                <w:rFonts w:ascii="Arial" w:hAnsi="Arial" w:cs="Arial"/>
                <w:sz w:val="20"/>
                <w:szCs w:val="20"/>
              </w:rPr>
              <w:t>ecolabels owners as covered by Article 11 of the EU Ecolabel Regulation</w:t>
            </w:r>
            <w:r>
              <w:rPr>
                <w:rStyle w:val="FootnoteReference"/>
                <w:rFonts w:ascii="Arial" w:hAnsi="Arial" w:cs="Arial"/>
                <w:sz w:val="20"/>
                <w:szCs w:val="20"/>
              </w:rPr>
              <w:footnoteReference w:id="17"/>
            </w:r>
            <w:r w:rsidRPr="009A6FBA" w:rsidR="006A1827">
              <w:rPr>
                <w:rFonts w:ascii="Arial" w:hAnsi="Arial" w:cs="Arial"/>
                <w:sz w:val="20"/>
                <w:szCs w:val="20"/>
              </w:rPr>
              <w:t xml:space="preserve">, </w:t>
            </w:r>
            <w:r w:rsidR="00BE3680">
              <w:rPr>
                <w:rFonts w:ascii="Arial" w:hAnsi="Arial" w:cs="Arial"/>
                <w:sz w:val="20"/>
                <w:szCs w:val="20"/>
              </w:rPr>
              <w:t xml:space="preserve">will also be carried out </w:t>
            </w:r>
            <w:r w:rsidRPr="009A6FBA" w:rsidR="00837001">
              <w:rPr>
                <w:rFonts w:ascii="Arial" w:hAnsi="Arial" w:cs="Arial"/>
                <w:sz w:val="20"/>
                <w:szCs w:val="20"/>
              </w:rPr>
              <w:t xml:space="preserve">and </w:t>
            </w:r>
            <w:r w:rsidRPr="009A6FBA" w:rsidR="006A0835">
              <w:rPr>
                <w:rFonts w:ascii="Arial" w:hAnsi="Arial" w:cs="Arial"/>
                <w:sz w:val="20"/>
                <w:szCs w:val="20"/>
              </w:rPr>
              <w:t>will build on previous</w:t>
            </w:r>
            <w:r w:rsidRPr="009A6FBA" w:rsidR="00A55CEA">
              <w:rPr>
                <w:rFonts w:ascii="Arial" w:hAnsi="Arial" w:cs="Arial"/>
                <w:sz w:val="20"/>
                <w:szCs w:val="20"/>
              </w:rPr>
              <w:t xml:space="preserve"> consultations</w:t>
            </w:r>
            <w:r>
              <w:rPr>
                <w:rStyle w:val="FootnoteReference"/>
                <w:rFonts w:ascii="Arial" w:hAnsi="Arial" w:cs="Arial"/>
                <w:sz w:val="20"/>
                <w:szCs w:val="20"/>
              </w:rPr>
              <w:footnoteReference w:id="18"/>
            </w:r>
            <w:r w:rsidRPr="009A6FBA" w:rsidR="00A55CEA">
              <w:rPr>
                <w:rFonts w:ascii="Arial" w:hAnsi="Arial" w:cs="Arial"/>
                <w:sz w:val="20"/>
                <w:szCs w:val="20"/>
              </w:rPr>
              <w:t xml:space="preserve"> </w:t>
            </w:r>
            <w:r w:rsidRPr="009A6FBA" w:rsidR="006A0835">
              <w:rPr>
                <w:rFonts w:ascii="Arial" w:hAnsi="Arial" w:cs="Arial"/>
                <w:sz w:val="20"/>
                <w:szCs w:val="20"/>
              </w:rPr>
              <w:t>including</w:t>
            </w:r>
            <w:r w:rsidRPr="009A6FBA" w:rsidR="00A55CEA">
              <w:rPr>
                <w:rFonts w:ascii="Arial" w:hAnsi="Arial" w:cs="Arial"/>
                <w:sz w:val="20"/>
                <w:szCs w:val="20"/>
              </w:rPr>
              <w:t>:</w:t>
            </w:r>
          </w:p>
          <w:p w:rsidR="00A55CEA" w:rsidRPr="009A6FBA" w:rsidP="00A55CEA">
            <w:pPr>
              <w:pStyle w:val="ListParagraph"/>
              <w:numPr>
                <w:ilvl w:val="0"/>
                <w:numId w:val="23"/>
              </w:numPr>
              <w:spacing w:before="60" w:after="60"/>
              <w:jc w:val="both"/>
              <w:rPr>
                <w:rFonts w:ascii="Arial" w:hAnsi="Arial" w:cs="Arial"/>
                <w:sz w:val="20"/>
                <w:szCs w:val="20"/>
              </w:rPr>
            </w:pPr>
            <w:r w:rsidRPr="009A6FBA">
              <w:rPr>
                <w:rFonts w:ascii="Arial" w:hAnsi="Arial" w:cs="Arial"/>
                <w:sz w:val="20"/>
                <w:szCs w:val="20"/>
              </w:rPr>
              <w:t xml:space="preserve">The </w:t>
            </w:r>
            <w:r w:rsidRPr="009A6FBA" w:rsidR="00005900">
              <w:rPr>
                <w:rFonts w:ascii="Arial" w:hAnsi="Arial" w:cs="Arial"/>
                <w:sz w:val="20"/>
                <w:szCs w:val="20"/>
              </w:rPr>
              <w:t xml:space="preserve">2019 </w:t>
            </w:r>
            <w:r w:rsidRPr="009A6FBA">
              <w:rPr>
                <w:rFonts w:ascii="Arial" w:hAnsi="Arial" w:cs="Arial"/>
                <w:sz w:val="20"/>
                <w:szCs w:val="20"/>
              </w:rPr>
              <w:t xml:space="preserve">public consultation on a product policy framework for the circular economy included a specific section on the potential future use of the EF methods in policies. </w:t>
            </w:r>
          </w:p>
          <w:p w:rsidR="00A55CEA" w:rsidRPr="009A6FBA" w:rsidP="00A55CEA">
            <w:pPr>
              <w:pStyle w:val="ListParagraph"/>
              <w:numPr>
                <w:ilvl w:val="0"/>
                <w:numId w:val="23"/>
              </w:numPr>
              <w:spacing w:before="60" w:after="60"/>
              <w:jc w:val="both"/>
              <w:rPr>
                <w:rFonts w:ascii="Arial" w:hAnsi="Arial" w:cs="Arial"/>
                <w:sz w:val="20"/>
                <w:szCs w:val="20"/>
              </w:rPr>
            </w:pPr>
            <w:r w:rsidRPr="009A6FBA">
              <w:rPr>
                <w:rFonts w:ascii="Arial" w:hAnsi="Arial" w:cs="Arial"/>
                <w:sz w:val="20"/>
                <w:szCs w:val="20"/>
              </w:rPr>
              <w:t xml:space="preserve">A series of targeted consultations </w:t>
            </w:r>
            <w:r w:rsidRPr="009A6FBA" w:rsidR="006A0835">
              <w:rPr>
                <w:rFonts w:ascii="Arial" w:hAnsi="Arial" w:cs="Arial"/>
                <w:sz w:val="20"/>
                <w:szCs w:val="20"/>
              </w:rPr>
              <w:t>with</w:t>
            </w:r>
            <w:r w:rsidRPr="009A6FBA">
              <w:rPr>
                <w:rFonts w:ascii="Arial" w:hAnsi="Arial" w:cs="Arial"/>
                <w:sz w:val="20"/>
                <w:szCs w:val="20"/>
              </w:rPr>
              <w:t xml:space="preserve"> businesses &amp; business associations, investors &amp; financial institutions, public administrations, NGOs and method/ initiative owners</w:t>
            </w:r>
            <w:r w:rsidRPr="009A6FBA" w:rsidR="00C82B40">
              <w:rPr>
                <w:rFonts w:ascii="Arial" w:hAnsi="Arial" w:cs="Arial"/>
                <w:sz w:val="20"/>
                <w:szCs w:val="20"/>
              </w:rPr>
              <w:t xml:space="preserve"> (these stakeholder groups reflect groups that are relevant for future EF policies)</w:t>
            </w:r>
            <w:r w:rsidRPr="009A6FBA">
              <w:rPr>
                <w:rFonts w:ascii="Arial" w:hAnsi="Arial" w:cs="Arial"/>
                <w:sz w:val="20"/>
                <w:szCs w:val="20"/>
              </w:rPr>
              <w:t>. The questionnaires focused on the potential future use of the EF methods in EU policy</w:t>
            </w:r>
            <w:r w:rsidRPr="009A6FBA" w:rsidR="002C0ED1">
              <w:rPr>
                <w:rFonts w:ascii="Arial" w:hAnsi="Arial" w:cs="Arial"/>
                <w:sz w:val="20"/>
                <w:szCs w:val="20"/>
              </w:rPr>
              <w:t xml:space="preserve"> (ended in December 2018).</w:t>
            </w:r>
          </w:p>
          <w:p w:rsidR="00A55CEA" w:rsidRPr="009A6FBA" w:rsidP="00A55CEA">
            <w:pPr>
              <w:pStyle w:val="ListParagraph"/>
              <w:numPr>
                <w:ilvl w:val="0"/>
                <w:numId w:val="23"/>
              </w:numPr>
              <w:spacing w:before="60" w:after="60"/>
              <w:jc w:val="both"/>
              <w:rPr>
                <w:rFonts w:ascii="Arial" w:hAnsi="Arial" w:cs="Arial"/>
                <w:sz w:val="20"/>
                <w:szCs w:val="20"/>
              </w:rPr>
            </w:pPr>
            <w:r w:rsidRPr="009A6FBA">
              <w:rPr>
                <w:rFonts w:ascii="Arial" w:hAnsi="Arial" w:cs="Arial"/>
                <w:sz w:val="20"/>
                <w:szCs w:val="20"/>
              </w:rPr>
              <w:t xml:space="preserve">A stakeholder workshop </w:t>
            </w:r>
            <w:r w:rsidRPr="009A6FBA" w:rsidR="002C0ED1">
              <w:rPr>
                <w:rFonts w:ascii="Arial" w:hAnsi="Arial" w:cs="Arial"/>
                <w:sz w:val="20"/>
                <w:szCs w:val="20"/>
              </w:rPr>
              <w:t>in April 20</w:t>
            </w:r>
            <w:r w:rsidRPr="009A6FBA" w:rsidR="008514C8">
              <w:rPr>
                <w:rFonts w:ascii="Arial" w:hAnsi="Arial" w:cs="Arial"/>
                <w:sz w:val="20"/>
                <w:szCs w:val="20"/>
              </w:rPr>
              <w:t xml:space="preserve">18, back-to-back with the final conference of the Environmental Footprint pilot phase. </w:t>
            </w:r>
          </w:p>
          <w:p w:rsidR="00707FAC" w:rsidRPr="009A6FBA">
            <w:pPr>
              <w:spacing w:before="60" w:after="60"/>
              <w:jc w:val="both"/>
              <w:rPr>
                <w:rFonts w:ascii="Arial" w:hAnsi="Arial" w:cs="Arial"/>
                <w:color w:val="00B050"/>
                <w:sz w:val="20"/>
                <w:szCs w:val="20"/>
              </w:rPr>
            </w:pPr>
          </w:p>
        </w:tc>
      </w:tr>
      <w:tr w:rsidTr="007F50CF">
        <w:tblPrEx>
          <w:tblW w:w="10314" w:type="dxa"/>
          <w:tblLook w:val="01E0"/>
        </w:tblPrEx>
        <w:tc>
          <w:tcPr>
            <w:tcW w:w="10314" w:type="dxa"/>
            <w:tcBorders>
              <w:bottom w:val="single" w:sz="4" w:space="0" w:color="auto"/>
            </w:tcBorders>
            <w:shd w:val="clear" w:color="auto" w:fill="E6E6E6"/>
          </w:tcPr>
          <w:p w:rsidR="00E67B71" w:rsidRPr="009A6FBA">
            <w:pPr>
              <w:spacing w:before="60"/>
              <w:jc w:val="both"/>
              <w:rPr>
                <w:rFonts w:ascii="Arial" w:hAnsi="Arial" w:cs="Arial"/>
                <w:b/>
                <w:sz w:val="20"/>
                <w:szCs w:val="20"/>
              </w:rPr>
            </w:pPr>
            <w:r w:rsidRPr="009A6FBA">
              <w:rPr>
                <w:rFonts w:ascii="Arial" w:hAnsi="Arial" w:cs="Arial"/>
                <w:b/>
                <w:sz w:val="20"/>
                <w:szCs w:val="20"/>
              </w:rPr>
              <w:t>Will an Implementation plan be established?</w:t>
            </w:r>
          </w:p>
        </w:tc>
      </w:tr>
      <w:tr w:rsidTr="00CA4F38">
        <w:tblPrEx>
          <w:tblW w:w="10314" w:type="dxa"/>
          <w:tblLook w:val="01E0"/>
        </w:tblPrEx>
        <w:trPr>
          <w:trHeight w:val="471"/>
        </w:trPr>
        <w:tc>
          <w:tcPr>
            <w:tcW w:w="10314" w:type="dxa"/>
            <w:shd w:val="clear" w:color="auto" w:fill="auto"/>
          </w:tcPr>
          <w:p w:rsidR="00644DBD" w:rsidRPr="009A6FBA" w:rsidP="001E0652">
            <w:pPr>
              <w:spacing w:before="60" w:after="60"/>
              <w:jc w:val="both"/>
              <w:rPr>
                <w:rFonts w:ascii="Arial" w:hAnsi="Arial" w:cs="Arial"/>
                <w:color w:val="00B050"/>
                <w:sz w:val="20"/>
                <w:szCs w:val="20"/>
              </w:rPr>
            </w:pPr>
            <w:r w:rsidRPr="009A6FBA">
              <w:rPr>
                <w:rFonts w:ascii="Arial" w:hAnsi="Arial" w:cs="Arial"/>
                <w:sz w:val="20"/>
                <w:szCs w:val="20"/>
              </w:rPr>
              <w:t xml:space="preserve">This will depend on the choice of the </w:t>
            </w:r>
            <w:r w:rsidRPr="009A6FBA" w:rsidR="001E0652">
              <w:rPr>
                <w:rFonts w:ascii="Arial" w:hAnsi="Arial" w:cs="Arial"/>
                <w:sz w:val="20"/>
                <w:szCs w:val="20"/>
              </w:rPr>
              <w:t>instrument</w:t>
            </w:r>
            <w:r w:rsidRPr="009A6FBA">
              <w:rPr>
                <w:rFonts w:ascii="Arial" w:hAnsi="Arial" w:cs="Arial"/>
                <w:sz w:val="20"/>
                <w:szCs w:val="20"/>
              </w:rPr>
              <w:t>.</w:t>
            </w:r>
            <w:r w:rsidRPr="009A6FBA" w:rsidR="0024177E">
              <w:rPr>
                <w:rFonts w:ascii="Arial" w:hAnsi="Arial" w:cs="Arial"/>
                <w:sz w:val="20"/>
                <w:szCs w:val="20"/>
              </w:rPr>
              <w:t xml:space="preserve"> </w:t>
            </w:r>
          </w:p>
        </w:tc>
      </w:tr>
    </w:tbl>
    <w:p w:rsidR="009C5769" w:rsidRPr="009A6FBA" w:rsidP="00706E04">
      <w:pPr>
        <w:rPr>
          <w:rFonts w:ascii="Arial" w:hAnsi="Arial" w:cs="Arial"/>
        </w:rPr>
      </w:pPr>
    </w:p>
    <w:sectPr w:rsidSect="001874BC">
      <w:footerReference w:type="even" r:id="rId13"/>
      <w:footerReference w:type="default" r:id="rId14"/>
      <w:headerReference w:type="first" r:id="rId15"/>
      <w:type w:val="continuous"/>
      <w:pgSz w:w="11906" w:h="16838" w:code="9"/>
      <w:pgMar w:top="851" w:right="567" w:bottom="851"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035" w:rsidP="00D92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D4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035" w:rsidP="002B4E61">
    <w:pPr>
      <w:pStyle w:val="Footer"/>
      <w:framePr w:wrap="around" w:vAnchor="text" w:hAnchor="margin" w:xAlign="center" w:y="1"/>
      <w:rPr>
        <w:rStyle w:val="PageNumber"/>
        <w:rFonts w:ascii="Arial" w:hAnsi="Arial"/>
        <w:sz w:val="16"/>
      </w:rPr>
    </w:pPr>
    <w:r>
      <w:rPr>
        <w:rStyle w:val="PageNumber"/>
        <w:rFonts w:ascii="Arial" w:hAnsi="Arial"/>
        <w:sz w:val="16"/>
      </w:rPr>
      <w:tab/>
    </w:r>
    <w:r>
      <w:rPr>
        <w:rStyle w:val="PageNumber"/>
        <w:rFonts w:ascii="Arial" w:hAnsi="Arial"/>
        <w:sz w:val="16"/>
      </w:rPr>
      <w:tab/>
    </w:r>
  </w:p>
  <w:p w:rsidR="00CD4035" w:rsidRPr="002B4E61" w:rsidP="002B4E61">
    <w:pPr>
      <w:pStyle w:val="Footer"/>
      <w:framePr w:wrap="around" w:vAnchor="text" w:hAnchor="margin" w:xAlign="center" w:y="1"/>
      <w:rPr>
        <w:rStyle w:val="PageNumber"/>
        <w:rFonts w:ascii="Arial" w:hAnsi="Arial"/>
        <w:sz w:val="16"/>
      </w:rPr>
    </w:pPr>
    <w:r>
      <w:rPr>
        <w:rStyle w:val="PageNumber"/>
        <w:rFonts w:ascii="Arial" w:hAnsi="Arial"/>
        <w:sz w:val="16"/>
      </w:rPr>
      <w:tab/>
    </w:r>
    <w:r>
      <w:rPr>
        <w:rStyle w:val="PageNumber"/>
        <w:rFonts w:ascii="Arial" w:hAnsi="Arial"/>
        <w:sz w:val="16"/>
      </w:rPr>
      <w:tab/>
    </w:r>
    <w:r>
      <w:rPr>
        <w:rStyle w:val="PageNumber"/>
        <w:rFonts w:ascii="Arial" w:hAnsi="Arial"/>
        <w:sz w:val="16"/>
      </w:rPr>
      <w:tab/>
      <w:t xml:space="preserve">         </w:t>
    </w:r>
    <w:r w:rsidRPr="002B4E61">
      <w:rPr>
        <w:rStyle w:val="PageNumber"/>
        <w:rFonts w:ascii="Arial" w:hAnsi="Arial"/>
        <w:sz w:val="16"/>
      </w:rPr>
      <w:fldChar w:fldCharType="begin"/>
    </w:r>
    <w:r w:rsidRPr="002B4E61">
      <w:rPr>
        <w:rStyle w:val="PageNumber"/>
        <w:rFonts w:ascii="Arial" w:hAnsi="Arial"/>
        <w:sz w:val="16"/>
      </w:rPr>
      <w:instrText xml:space="preserve">PAGE  </w:instrText>
    </w:r>
    <w:r w:rsidRPr="002B4E61">
      <w:rPr>
        <w:rStyle w:val="PageNumber"/>
        <w:rFonts w:ascii="Arial" w:hAnsi="Arial"/>
        <w:sz w:val="16"/>
      </w:rPr>
      <w:fldChar w:fldCharType="separate"/>
    </w:r>
    <w:r>
      <w:rPr>
        <w:rStyle w:val="PageNumber"/>
        <w:rFonts w:ascii="Arial" w:hAnsi="Arial"/>
        <w:noProof/>
        <w:sz w:val="16"/>
      </w:rPr>
      <w:t>3</w:t>
    </w:r>
    <w:r w:rsidRPr="002B4E61">
      <w:rPr>
        <w:rStyle w:val="PageNumber"/>
        <w:rFonts w:ascii="Arial" w:hAnsi="Arial"/>
        <w:sz w:val="16"/>
      </w:rPr>
      <w:fldChar w:fldCharType="end"/>
    </w:r>
  </w:p>
  <w:p w:rsidR="00CD4035" w:rsidRPr="002B4E61">
    <w:pPr>
      <w:pStyle w:val="Footer"/>
      <w:rPr>
        <w:rFonts w:ascii="Arial" w:hAnsi="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0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035" w:rsidP="00D92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D403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035" w:rsidP="002B4E61">
    <w:pPr>
      <w:pStyle w:val="Footer"/>
      <w:framePr w:wrap="around" w:vAnchor="text" w:hAnchor="margin" w:xAlign="center" w:y="1"/>
      <w:rPr>
        <w:rStyle w:val="PageNumber"/>
        <w:rFonts w:ascii="Arial" w:hAnsi="Arial"/>
        <w:sz w:val="16"/>
      </w:rPr>
    </w:pPr>
    <w:r>
      <w:rPr>
        <w:rStyle w:val="PageNumber"/>
        <w:rFonts w:ascii="Arial" w:hAnsi="Arial"/>
        <w:sz w:val="16"/>
      </w:rPr>
      <w:tab/>
    </w:r>
    <w:r>
      <w:rPr>
        <w:rStyle w:val="PageNumber"/>
        <w:rFonts w:ascii="Arial" w:hAnsi="Arial"/>
        <w:sz w:val="16"/>
      </w:rPr>
      <w:tab/>
    </w:r>
  </w:p>
  <w:p w:rsidR="00CD4035" w:rsidRPr="002B4E61" w:rsidP="002B4E61">
    <w:pPr>
      <w:pStyle w:val="Footer"/>
      <w:framePr w:wrap="around" w:vAnchor="text" w:hAnchor="margin" w:xAlign="center" w:y="1"/>
      <w:rPr>
        <w:rStyle w:val="PageNumber"/>
        <w:rFonts w:ascii="Arial" w:hAnsi="Arial"/>
        <w:sz w:val="16"/>
      </w:rPr>
    </w:pPr>
    <w:r>
      <w:rPr>
        <w:rStyle w:val="PageNumber"/>
        <w:rFonts w:ascii="Arial" w:hAnsi="Arial"/>
        <w:sz w:val="16"/>
      </w:rPr>
      <w:tab/>
    </w:r>
    <w:r>
      <w:rPr>
        <w:rStyle w:val="PageNumber"/>
        <w:rFonts w:ascii="Arial" w:hAnsi="Arial"/>
        <w:sz w:val="16"/>
      </w:rPr>
      <w:tab/>
    </w:r>
    <w:r>
      <w:rPr>
        <w:rStyle w:val="PageNumber"/>
        <w:rFonts w:ascii="Arial" w:hAnsi="Arial"/>
        <w:sz w:val="16"/>
      </w:rPr>
      <w:tab/>
      <w:t xml:space="preserve">         </w:t>
    </w:r>
    <w:r w:rsidRPr="002B4E61">
      <w:rPr>
        <w:rStyle w:val="PageNumber"/>
        <w:rFonts w:ascii="Arial" w:hAnsi="Arial"/>
        <w:sz w:val="16"/>
      </w:rPr>
      <w:fldChar w:fldCharType="begin"/>
    </w:r>
    <w:r w:rsidRPr="002B4E61">
      <w:rPr>
        <w:rStyle w:val="PageNumber"/>
        <w:rFonts w:ascii="Arial" w:hAnsi="Arial"/>
        <w:sz w:val="16"/>
      </w:rPr>
      <w:instrText xml:space="preserve">PAGE  </w:instrText>
    </w:r>
    <w:r w:rsidRPr="002B4E61">
      <w:rPr>
        <w:rStyle w:val="PageNumber"/>
        <w:rFonts w:ascii="Arial" w:hAnsi="Arial"/>
        <w:sz w:val="16"/>
      </w:rPr>
      <w:fldChar w:fldCharType="separate"/>
    </w:r>
    <w:r w:rsidR="005A7CD3">
      <w:rPr>
        <w:rStyle w:val="PageNumber"/>
        <w:rFonts w:ascii="Arial" w:hAnsi="Arial"/>
        <w:noProof/>
        <w:sz w:val="16"/>
      </w:rPr>
      <w:t>5</w:t>
    </w:r>
    <w:r w:rsidRPr="002B4E61">
      <w:rPr>
        <w:rStyle w:val="PageNumber"/>
        <w:rFonts w:ascii="Arial" w:hAnsi="Arial"/>
        <w:sz w:val="16"/>
      </w:rPr>
      <w:fldChar w:fldCharType="end"/>
    </w:r>
  </w:p>
  <w:p w:rsidR="00CD4035" w:rsidRPr="002B4E61">
    <w:pPr>
      <w:pStyle w:val="Foote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D4035">
      <w:r>
        <w:separator/>
      </w:r>
    </w:p>
  </w:footnote>
  <w:footnote w:type="continuationSeparator" w:id="1">
    <w:p w:rsidR="00CD4035">
      <w:r>
        <w:continuationSeparator/>
      </w:r>
    </w:p>
  </w:footnote>
  <w:footnote w:id="2">
    <w:p w:rsidR="00CD4035" w:rsidRPr="00115198" w:rsidP="00115198">
      <w:pPr>
        <w:pStyle w:val="Default"/>
        <w:rPr>
          <w:rFonts w:ascii="Arial" w:hAnsi="Arial" w:cs="Arial"/>
          <w:color w:val="auto"/>
          <w:sz w:val="18"/>
          <w:szCs w:val="18"/>
          <w:lang w:val="en-IE"/>
        </w:rPr>
      </w:pPr>
      <w:r w:rsidRPr="00115198">
        <w:rPr>
          <w:rStyle w:val="FootnoteReference"/>
          <w:rFonts w:ascii="Arial" w:hAnsi="Arial" w:cs="Arial"/>
          <w:sz w:val="18"/>
          <w:szCs w:val="18"/>
        </w:rPr>
        <w:footnoteRef/>
      </w:r>
      <w:r w:rsidRPr="00115198">
        <w:rPr>
          <w:rFonts w:ascii="Arial" w:hAnsi="Arial" w:cs="Arial"/>
          <w:sz w:val="18"/>
          <w:szCs w:val="18"/>
          <w:lang w:val="en-GB"/>
        </w:rPr>
        <w:t xml:space="preserve"> </w:t>
      </w:r>
      <w:r w:rsidRPr="00115198">
        <w:rPr>
          <w:rFonts w:ascii="Arial" w:hAnsi="Arial" w:cs="Arial"/>
          <w:sz w:val="18"/>
          <w:szCs w:val="18"/>
          <w:lang w:val="en-GB"/>
        </w:rPr>
        <w:tab/>
      </w:r>
      <w:r>
        <w:fldChar w:fldCharType="begin"/>
      </w:r>
      <w:r>
        <w:instrText xml:space="preserve"> HYPERLINK "https://eur-lex.europa.eu/legal-content/EN/TXT/?uri=COM:2019:640:FIN" </w:instrText>
      </w:r>
      <w:r>
        <w:fldChar w:fldCharType="separate"/>
      </w:r>
      <w:r w:rsidRPr="00115198">
        <w:rPr>
          <w:rStyle w:val="Hyperlink"/>
          <w:rFonts w:ascii="Arial" w:hAnsi="Arial" w:cs="Arial"/>
          <w:sz w:val="18"/>
          <w:szCs w:val="18"/>
          <w:lang w:val="en-IE"/>
        </w:rPr>
        <w:t>COM (2019) 640</w:t>
      </w:r>
      <w:r>
        <w:fldChar w:fldCharType="end"/>
      </w:r>
      <w:r w:rsidRPr="00115198" w:rsidR="006D276E">
        <w:rPr>
          <w:rStyle w:val="Hyperlink"/>
          <w:rFonts w:ascii="Arial" w:hAnsi="Arial" w:cs="Arial"/>
          <w:sz w:val="18"/>
          <w:szCs w:val="18"/>
          <w:lang w:val="en-IE"/>
        </w:rPr>
        <w:t>.</w:t>
      </w:r>
      <w:r w:rsidRPr="00115198">
        <w:rPr>
          <w:rFonts w:ascii="Arial" w:hAnsi="Arial" w:cs="Arial"/>
          <w:color w:val="auto"/>
          <w:sz w:val="18"/>
          <w:szCs w:val="18"/>
          <w:lang w:val="en-IE"/>
        </w:rPr>
        <w:t xml:space="preserve"> </w:t>
      </w:r>
    </w:p>
  </w:footnote>
  <w:footnote w:id="3">
    <w:p w:rsidR="00CD4035" w:rsidRPr="00115198" w:rsidP="00115198">
      <w:pPr>
        <w:pStyle w:val="FootnoteText"/>
        <w:spacing w:after="0"/>
        <w:ind w:left="0" w:firstLine="0"/>
        <w:rPr>
          <w:rFonts w:ascii="Arial" w:hAnsi="Arial" w:cs="Arial"/>
          <w:sz w:val="18"/>
          <w:szCs w:val="18"/>
          <w:lang w:val="en-IE"/>
        </w:rPr>
      </w:pPr>
      <w:r w:rsidRPr="00115198">
        <w:rPr>
          <w:rStyle w:val="FootnoteReference"/>
          <w:rFonts w:ascii="Arial" w:hAnsi="Arial" w:cs="Arial"/>
          <w:sz w:val="18"/>
          <w:szCs w:val="18"/>
        </w:rPr>
        <w:footnoteRef/>
      </w:r>
      <w:r w:rsidRPr="00115198">
        <w:rPr>
          <w:rFonts w:ascii="Arial" w:hAnsi="Arial" w:cs="Arial"/>
          <w:sz w:val="18"/>
          <w:szCs w:val="18"/>
        </w:rPr>
        <w:t xml:space="preserve">    </w:t>
      </w:r>
      <w:r w:rsidRPr="00115198">
        <w:rPr>
          <w:rFonts w:ascii="Arial" w:hAnsi="Arial" w:cs="Arial"/>
          <w:sz w:val="18"/>
          <w:szCs w:val="18"/>
          <w:lang w:val="en-IE"/>
        </w:rPr>
        <w:t>Green or environmental claims falling in the scope of the initiative are claims made in relation with the environmental impacts covered by the Environmental Footprint methods.</w:t>
      </w:r>
    </w:p>
  </w:footnote>
  <w:footnote w:id="4">
    <w:p w:rsidR="00CD4035" w:rsidRPr="00115198" w:rsidP="00115198">
      <w:pPr>
        <w:pStyle w:val="FootnoteText"/>
        <w:spacing w:after="0"/>
        <w:ind w:left="0" w:firstLine="0"/>
        <w:rPr>
          <w:rFonts w:ascii="Arial" w:hAnsi="Arial" w:cs="Arial"/>
          <w:sz w:val="18"/>
          <w:szCs w:val="18"/>
          <w:lang w:val="en-IE"/>
        </w:rPr>
      </w:pPr>
      <w:r w:rsidRPr="00115198">
        <w:rPr>
          <w:rStyle w:val="FootnoteReference"/>
          <w:rFonts w:ascii="Arial" w:hAnsi="Arial" w:cs="Arial"/>
          <w:sz w:val="18"/>
          <w:szCs w:val="18"/>
        </w:rPr>
        <w:footnoteRef/>
      </w:r>
      <w:r w:rsidRPr="00115198">
        <w:rPr>
          <w:rFonts w:ascii="Arial" w:hAnsi="Arial" w:cs="Arial"/>
          <w:sz w:val="18"/>
          <w:szCs w:val="18"/>
        </w:rPr>
        <w:t xml:space="preserve"> </w:t>
      </w:r>
      <w:r w:rsidRPr="00115198">
        <w:rPr>
          <w:rFonts w:ascii="Arial" w:hAnsi="Arial" w:cs="Arial"/>
          <w:sz w:val="18"/>
          <w:szCs w:val="18"/>
        </w:rPr>
        <w:tab/>
      </w:r>
      <w:r>
        <w:fldChar w:fldCharType="begin"/>
      </w:r>
      <w:r>
        <w:instrText xml:space="preserve"> HYPERLINK "https://ec.europa.eu/environment/circular-economy/pdf/new_circular_economy_action_plan.pdf" </w:instrText>
      </w:r>
      <w:r>
        <w:fldChar w:fldCharType="separate"/>
      </w:r>
      <w:r w:rsidRPr="00115198">
        <w:rPr>
          <w:rStyle w:val="Hyperlink"/>
          <w:rFonts w:ascii="Arial" w:hAnsi="Arial" w:cs="Arial"/>
          <w:sz w:val="18"/>
          <w:szCs w:val="18"/>
          <w:lang w:val="en-IE"/>
        </w:rPr>
        <w:t>COM(2020)98</w:t>
      </w:r>
      <w:r>
        <w:fldChar w:fldCharType="end"/>
      </w:r>
      <w:r w:rsidRPr="00115198">
        <w:rPr>
          <w:rFonts w:ascii="Arial" w:hAnsi="Arial" w:cs="Arial"/>
          <w:sz w:val="18"/>
          <w:szCs w:val="18"/>
          <w:lang w:val="en-IE"/>
        </w:rPr>
        <w:t>.</w:t>
      </w:r>
    </w:p>
  </w:footnote>
  <w:footnote w:id="5">
    <w:p w:rsidR="00CD4035" w:rsidRPr="00115198" w:rsidP="00115198">
      <w:pPr>
        <w:pStyle w:val="FootnoteText"/>
        <w:spacing w:after="0"/>
        <w:rPr>
          <w:rFonts w:ascii="Arial" w:hAnsi="Arial" w:cs="Arial"/>
          <w:sz w:val="18"/>
          <w:szCs w:val="18"/>
        </w:rPr>
      </w:pPr>
      <w:r w:rsidRPr="00115198">
        <w:rPr>
          <w:rStyle w:val="FootnoteReference"/>
          <w:rFonts w:ascii="Arial" w:hAnsi="Arial" w:cs="Arial"/>
          <w:sz w:val="18"/>
          <w:szCs w:val="18"/>
        </w:rPr>
        <w:footnoteRef/>
      </w:r>
      <w:r w:rsidRPr="00115198">
        <w:rPr>
          <w:rFonts w:ascii="Arial" w:hAnsi="Arial" w:cs="Arial"/>
          <w:sz w:val="18"/>
          <w:szCs w:val="18"/>
        </w:rPr>
        <w:t xml:space="preserve"> </w:t>
      </w:r>
      <w:r>
        <w:fldChar w:fldCharType="begin"/>
      </w:r>
      <w:r>
        <w:instrText xml:space="preserve"> HYPERLINK "https://ec.europa.eu/food/farm2fork_en" </w:instrText>
      </w:r>
      <w:r>
        <w:fldChar w:fldCharType="separate"/>
      </w:r>
      <w:r w:rsidRPr="00115198" w:rsidR="00C7575F">
        <w:rPr>
          <w:rStyle w:val="Hyperlink"/>
          <w:rFonts w:ascii="Arial" w:hAnsi="Arial" w:cs="Arial"/>
          <w:sz w:val="18"/>
          <w:szCs w:val="18"/>
        </w:rPr>
        <w:t>https://ec.europa.eu/food/farm2fork_en</w:t>
      </w:r>
      <w:r>
        <w:fldChar w:fldCharType="end"/>
      </w:r>
      <w:r w:rsidRPr="00115198" w:rsidR="00C7575F">
        <w:rPr>
          <w:rFonts w:ascii="Arial" w:hAnsi="Arial" w:cs="Arial"/>
          <w:sz w:val="18"/>
          <w:szCs w:val="18"/>
        </w:rPr>
        <w:t xml:space="preserve"> </w:t>
      </w:r>
    </w:p>
  </w:footnote>
  <w:footnote w:id="6">
    <w:p w:rsidR="00CD4035" w:rsidRPr="00115198" w:rsidP="00115198">
      <w:pPr>
        <w:pStyle w:val="FootnoteText"/>
        <w:spacing w:after="0"/>
        <w:ind w:left="0" w:firstLine="0"/>
        <w:rPr>
          <w:rFonts w:ascii="Arial" w:hAnsi="Arial" w:cs="Arial"/>
          <w:sz w:val="18"/>
          <w:szCs w:val="18"/>
        </w:rPr>
      </w:pPr>
      <w:r w:rsidRPr="00115198">
        <w:rPr>
          <w:rStyle w:val="FootnoteReference"/>
          <w:rFonts w:ascii="Arial" w:hAnsi="Arial" w:cs="Arial"/>
          <w:sz w:val="18"/>
          <w:szCs w:val="18"/>
        </w:rPr>
        <w:footnoteRef/>
      </w:r>
      <w:r w:rsidRPr="00115198">
        <w:rPr>
          <w:rFonts w:ascii="Arial" w:hAnsi="Arial" w:cs="Arial"/>
          <w:sz w:val="18"/>
          <w:szCs w:val="18"/>
        </w:rPr>
        <w:t xml:space="preserve"> </w:t>
      </w:r>
      <w:r>
        <w:fldChar w:fldCharType="begin"/>
      </w:r>
      <w:r>
        <w:instrText xml:space="preserve"> HYPERLINK "https://eur-lex.europa.eu/legal-content/EN/TXT/?qid=1585324585932&amp;uri=CELEX%3A02005L0029-20220528" </w:instrText>
      </w:r>
      <w:r>
        <w:fldChar w:fldCharType="separate"/>
      </w:r>
      <w:r w:rsidRPr="00115198" w:rsidR="006736ED">
        <w:rPr>
          <w:rStyle w:val="Hyperlink"/>
          <w:rFonts w:ascii="Arial" w:hAnsi="Arial" w:cs="Arial"/>
          <w:sz w:val="18"/>
          <w:szCs w:val="18"/>
        </w:rPr>
        <w:t>See consolidated version</w:t>
      </w:r>
      <w:r>
        <w:fldChar w:fldCharType="end"/>
      </w:r>
      <w:r w:rsidRPr="00115198" w:rsidR="00493034">
        <w:rPr>
          <w:rFonts w:ascii="Arial" w:hAnsi="Arial" w:cs="Arial"/>
          <w:sz w:val="18"/>
          <w:szCs w:val="18"/>
        </w:rPr>
        <w:t>. Environmental claims on food and feed that are misleading can also be prohibited respectively by Regulation (EU) No 1169/2011 on the provision of food information to consumers  and Regulation (EU) No 767/2009 on the placing on the market of feed</w:t>
      </w:r>
      <w:r w:rsidRPr="00115198" w:rsidR="006736ED">
        <w:rPr>
          <w:rFonts w:ascii="Arial" w:hAnsi="Arial" w:cs="Arial"/>
          <w:sz w:val="18"/>
          <w:szCs w:val="18"/>
        </w:rPr>
        <w:t>.</w:t>
      </w:r>
    </w:p>
  </w:footnote>
  <w:footnote w:id="7">
    <w:p w:rsidR="00CD4035" w:rsidRPr="00115198" w:rsidP="00115198">
      <w:pPr>
        <w:pStyle w:val="FootnoteText"/>
        <w:spacing w:after="0"/>
        <w:ind w:left="0" w:firstLine="0"/>
        <w:rPr>
          <w:rFonts w:ascii="Arial" w:hAnsi="Arial" w:cs="Arial"/>
          <w:sz w:val="18"/>
          <w:szCs w:val="18"/>
        </w:rPr>
      </w:pPr>
      <w:r w:rsidRPr="00115198">
        <w:rPr>
          <w:rStyle w:val="FootnoteReference"/>
          <w:rFonts w:ascii="Arial" w:hAnsi="Arial" w:cs="Arial"/>
          <w:sz w:val="18"/>
          <w:szCs w:val="18"/>
        </w:rPr>
        <w:footnoteRef/>
      </w:r>
      <w:r w:rsidRPr="00115198">
        <w:rPr>
          <w:rFonts w:ascii="Arial" w:hAnsi="Arial" w:cs="Arial"/>
          <w:sz w:val="18"/>
          <w:szCs w:val="18"/>
        </w:rPr>
        <w:t xml:space="preserve"> </w:t>
      </w:r>
      <w:r w:rsidRPr="00115198">
        <w:rPr>
          <w:rFonts w:ascii="Arial" w:hAnsi="Arial" w:cs="Arial"/>
          <w:sz w:val="18"/>
          <w:szCs w:val="18"/>
        </w:rPr>
        <w:tab/>
      </w:r>
      <w:r w:rsidRPr="00115198">
        <w:rPr>
          <w:rStyle w:val="Hyperlink"/>
          <w:rFonts w:ascii="Arial" w:hAnsi="Arial" w:cs="Arial"/>
          <w:color w:val="auto"/>
          <w:sz w:val="18"/>
          <w:szCs w:val="18"/>
          <w:u w:val="none"/>
        </w:rPr>
        <w:t xml:space="preserve"> More information on the methods and on the pilot phase during which they were tested can be found here: </w:t>
      </w:r>
      <w:r>
        <w:fldChar w:fldCharType="begin"/>
      </w:r>
      <w:r>
        <w:instrText xml:space="preserve"> HYPERLINK "https://ec.europa.eu/environment/eussd/smgp/" </w:instrText>
      </w:r>
      <w:r>
        <w:fldChar w:fldCharType="separate"/>
      </w:r>
      <w:r w:rsidRPr="00115198">
        <w:rPr>
          <w:rStyle w:val="Hyperlink"/>
          <w:rFonts w:ascii="Arial" w:hAnsi="Arial" w:cs="Arial"/>
          <w:color w:val="auto"/>
          <w:sz w:val="18"/>
          <w:szCs w:val="18"/>
          <w:u w:val="none"/>
        </w:rPr>
        <w:t>https://ec.europa.eu/environment/eussd/smgp/</w:t>
      </w:r>
      <w:r>
        <w:fldChar w:fldCharType="end"/>
      </w:r>
    </w:p>
  </w:footnote>
  <w:footnote w:id="8">
    <w:p w:rsidR="008D0A06" w:rsidRPr="00115198" w:rsidP="008D0A06">
      <w:pPr>
        <w:pStyle w:val="FootnoteText"/>
        <w:spacing w:after="0"/>
        <w:ind w:left="0" w:firstLine="0"/>
        <w:rPr>
          <w:rFonts w:ascii="Arial" w:hAnsi="Arial" w:cs="Arial"/>
          <w:sz w:val="18"/>
          <w:szCs w:val="18"/>
        </w:rPr>
      </w:pPr>
      <w:r w:rsidRPr="00115198">
        <w:rPr>
          <w:rStyle w:val="FootnoteReference"/>
          <w:rFonts w:ascii="Arial" w:hAnsi="Arial" w:cs="Arial"/>
          <w:sz w:val="18"/>
          <w:szCs w:val="18"/>
        </w:rPr>
        <w:footnoteRef/>
      </w:r>
      <w:r w:rsidRPr="00115198">
        <w:rPr>
          <w:rFonts w:ascii="Arial" w:hAnsi="Arial" w:cs="Arial"/>
          <w:sz w:val="18"/>
          <w:szCs w:val="18"/>
        </w:rPr>
        <w:t xml:space="preserve"> </w:t>
      </w:r>
      <w:r w:rsidRPr="00115198">
        <w:rPr>
          <w:rFonts w:ascii="Arial" w:hAnsi="Arial" w:cs="Arial"/>
          <w:sz w:val="18"/>
          <w:szCs w:val="18"/>
          <w:lang w:val="en-IE"/>
        </w:rPr>
        <w:tab/>
      </w:r>
      <w:r w:rsidRPr="00115198">
        <w:rPr>
          <w:rStyle w:val="Hyperlink"/>
          <w:rFonts w:ascii="Arial" w:hAnsi="Arial" w:cs="Arial"/>
          <w:sz w:val="18"/>
          <w:szCs w:val="18"/>
        </w:rPr>
        <w:t xml:space="preserve">Link to DG JUST IIA. </w:t>
      </w:r>
      <w:r w:rsidRPr="00115198">
        <w:rPr>
          <w:rStyle w:val="Hyperlink"/>
          <w:rFonts w:ascii="Arial" w:hAnsi="Arial" w:cs="Arial"/>
          <w:color w:val="auto"/>
          <w:sz w:val="18"/>
          <w:szCs w:val="18"/>
          <w:u w:val="none"/>
        </w:rPr>
        <w:t>As a lex generalis, JUST initiative will apply without prejudice to any pre-existing or future lex specialis for specific issues or products/services within its scope, such as the initiative covered by this Inception Impact Assessment.</w:t>
      </w:r>
    </w:p>
  </w:footnote>
  <w:footnote w:id="9">
    <w:p w:rsidR="00CD4035" w:rsidRPr="00332198" w:rsidP="00115198">
      <w:pPr>
        <w:pStyle w:val="FootnoteText"/>
        <w:spacing w:after="0"/>
        <w:rPr>
          <w:rFonts w:ascii="Arial" w:hAnsi="Arial" w:cs="Arial"/>
          <w:sz w:val="18"/>
          <w:szCs w:val="18"/>
          <w:lang w:val="es-ES"/>
        </w:rPr>
      </w:pPr>
      <w:r w:rsidRPr="00115198">
        <w:rPr>
          <w:rStyle w:val="FootnoteReference"/>
          <w:rFonts w:ascii="Arial" w:hAnsi="Arial" w:cs="Arial"/>
          <w:sz w:val="18"/>
          <w:szCs w:val="18"/>
        </w:rPr>
        <w:footnoteRef/>
      </w:r>
      <w:r w:rsidRPr="003E39E6">
        <w:rPr>
          <w:rFonts w:ascii="Arial" w:hAnsi="Arial" w:cs="Arial"/>
          <w:sz w:val="18"/>
          <w:szCs w:val="18"/>
          <w:lang w:val="es-ES"/>
        </w:rPr>
        <w:t xml:space="preserve"> Ecolabel index 2020</w:t>
      </w:r>
      <w:r w:rsidRPr="003E39E6" w:rsidR="00B441E2">
        <w:rPr>
          <w:rFonts w:ascii="Arial" w:hAnsi="Arial" w:cs="Arial"/>
          <w:sz w:val="18"/>
          <w:szCs w:val="18"/>
          <w:lang w:val="es-ES"/>
        </w:rPr>
        <w:t>, http://www.ecolabelindex.com/</w:t>
      </w:r>
      <w:r w:rsidRPr="00332198">
        <w:rPr>
          <w:rFonts w:ascii="Arial" w:hAnsi="Arial" w:cs="Arial"/>
          <w:sz w:val="18"/>
          <w:szCs w:val="18"/>
          <w:lang w:val="es-ES"/>
        </w:rPr>
        <w:t xml:space="preserve"> </w:t>
      </w:r>
    </w:p>
  </w:footnote>
  <w:footnote w:id="10">
    <w:p w:rsidR="00CD4035" w:rsidRPr="00115198" w:rsidP="00115198">
      <w:pPr>
        <w:pStyle w:val="FootnoteText"/>
        <w:spacing w:after="0"/>
        <w:rPr>
          <w:rFonts w:ascii="Arial" w:hAnsi="Arial" w:cs="Arial"/>
          <w:sz w:val="18"/>
          <w:szCs w:val="18"/>
        </w:rPr>
      </w:pPr>
      <w:r w:rsidRPr="00115198">
        <w:rPr>
          <w:rStyle w:val="FootnoteReference"/>
          <w:rFonts w:ascii="Arial" w:hAnsi="Arial" w:cs="Arial"/>
          <w:sz w:val="18"/>
          <w:szCs w:val="18"/>
        </w:rPr>
        <w:footnoteRef/>
      </w:r>
      <w:r w:rsidRPr="00115198">
        <w:rPr>
          <w:rFonts w:ascii="Arial" w:hAnsi="Arial" w:cs="Arial"/>
          <w:sz w:val="18"/>
          <w:szCs w:val="18"/>
        </w:rPr>
        <w:t xml:space="preserve"> </w:t>
      </w:r>
      <w:r w:rsidRPr="00115198" w:rsidR="000F742A">
        <w:rPr>
          <w:rFonts w:ascii="Arial" w:hAnsi="Arial" w:cs="Arial"/>
          <w:sz w:val="18"/>
          <w:szCs w:val="18"/>
        </w:rPr>
        <w:t xml:space="preserve">Analysis performed in 2019 based on information available at the </w:t>
      </w:r>
      <w:r w:rsidRPr="00115198">
        <w:rPr>
          <w:rFonts w:ascii="Arial" w:hAnsi="Arial" w:cs="Arial"/>
          <w:sz w:val="18"/>
          <w:szCs w:val="18"/>
        </w:rPr>
        <w:t xml:space="preserve">Ecolabel Index </w:t>
      </w:r>
    </w:p>
  </w:footnote>
  <w:footnote w:id="11">
    <w:p w:rsidR="00CD4035" w:rsidRPr="00115198" w:rsidP="00115198">
      <w:pPr>
        <w:pStyle w:val="FootnoteText"/>
        <w:spacing w:after="0"/>
        <w:rPr>
          <w:rFonts w:ascii="Arial" w:hAnsi="Arial" w:cs="Arial"/>
          <w:sz w:val="18"/>
          <w:szCs w:val="18"/>
        </w:rPr>
      </w:pPr>
      <w:r w:rsidRPr="00115198">
        <w:rPr>
          <w:rStyle w:val="FootnoteReference"/>
          <w:rFonts w:ascii="Arial" w:hAnsi="Arial" w:cs="Arial"/>
          <w:sz w:val="18"/>
          <w:szCs w:val="18"/>
        </w:rPr>
        <w:footnoteRef/>
      </w:r>
      <w:r w:rsidRPr="00115198">
        <w:rPr>
          <w:rFonts w:ascii="Arial" w:hAnsi="Arial" w:cs="Arial"/>
          <w:sz w:val="18"/>
          <w:szCs w:val="18"/>
        </w:rPr>
        <w:t xml:space="preserve"> </w:t>
      </w:r>
      <w:r>
        <w:fldChar w:fldCharType="begin"/>
      </w:r>
      <w:r>
        <w:instrText xml:space="preserve"> HYPERLINK "https://ec.europa.eu/info/sites/info/files/study_on_environmetal_claims_for_non_food_products_2014_en.pdf" </w:instrText>
      </w:r>
      <w:r>
        <w:fldChar w:fldCharType="separate"/>
      </w:r>
      <w:r w:rsidRPr="00115198">
        <w:rPr>
          <w:rStyle w:val="Hyperlink"/>
          <w:rFonts w:ascii="Arial" w:hAnsi="Arial" w:cs="Arial"/>
          <w:sz w:val="18"/>
          <w:szCs w:val="18"/>
        </w:rPr>
        <w:t>Consumer market study on environmental claims for non-food products</w:t>
      </w:r>
      <w:r>
        <w:fldChar w:fldCharType="end"/>
      </w:r>
      <w:r w:rsidRPr="00115198">
        <w:rPr>
          <w:rFonts w:ascii="Arial" w:hAnsi="Arial" w:cs="Arial"/>
          <w:sz w:val="18"/>
          <w:szCs w:val="18"/>
        </w:rPr>
        <w:t>, DG JUST, 2014.</w:t>
      </w:r>
    </w:p>
  </w:footnote>
  <w:footnote w:id="12">
    <w:p w:rsidR="00CD4035" w:rsidRPr="00115198" w:rsidP="00115198">
      <w:pPr>
        <w:pStyle w:val="FootnoteText"/>
        <w:spacing w:after="0"/>
        <w:ind w:left="0" w:firstLine="0"/>
        <w:rPr>
          <w:rFonts w:ascii="Arial" w:hAnsi="Arial" w:cs="Arial"/>
          <w:sz w:val="18"/>
          <w:szCs w:val="18"/>
        </w:rPr>
      </w:pPr>
      <w:r w:rsidRPr="00115198">
        <w:rPr>
          <w:rStyle w:val="FootnoteReference"/>
          <w:rFonts w:ascii="Arial" w:hAnsi="Arial" w:cs="Arial"/>
          <w:sz w:val="18"/>
          <w:szCs w:val="18"/>
        </w:rPr>
        <w:footnoteRef/>
      </w:r>
      <w:r w:rsidRPr="00115198">
        <w:rPr>
          <w:rFonts w:ascii="Arial" w:hAnsi="Arial" w:cs="Arial"/>
          <w:sz w:val="18"/>
          <w:szCs w:val="18"/>
        </w:rPr>
        <w:t xml:space="preserve"> </w:t>
      </w:r>
      <w:r>
        <w:fldChar w:fldCharType="begin"/>
      </w:r>
      <w:r>
        <w:instrText xml:space="preserve"> HYPERLINK "http://ec.europa.eu/commfrontoffice/publicopinion/flash/fl_367_en.pdf" </w:instrText>
      </w:r>
      <w:r>
        <w:fldChar w:fldCharType="separate"/>
      </w:r>
      <w:r w:rsidRPr="00115198">
        <w:rPr>
          <w:rStyle w:val="Hyperlink"/>
          <w:rFonts w:ascii="Arial" w:hAnsi="Arial" w:cs="Arial"/>
          <w:sz w:val="18"/>
          <w:szCs w:val="18"/>
        </w:rPr>
        <w:t>Flash Eurobarometer 367, 2013</w:t>
      </w:r>
      <w:r>
        <w:fldChar w:fldCharType="end"/>
      </w:r>
      <w:r w:rsidRPr="00115198">
        <w:rPr>
          <w:rStyle w:val="Hyperlink"/>
          <w:rFonts w:ascii="Arial" w:hAnsi="Arial" w:cs="Arial"/>
          <w:sz w:val="18"/>
          <w:szCs w:val="18"/>
        </w:rPr>
        <w:t>; to be updated at beginning of 2020</w:t>
      </w:r>
    </w:p>
  </w:footnote>
  <w:footnote w:id="13">
    <w:p w:rsidR="004E0FB9" w:rsidRPr="00115198" w:rsidP="00115198">
      <w:pPr>
        <w:pStyle w:val="FootnoteText"/>
        <w:spacing w:after="0"/>
        <w:ind w:left="0" w:firstLine="0"/>
        <w:rPr>
          <w:rFonts w:ascii="Arial" w:hAnsi="Arial" w:cs="Arial"/>
          <w:sz w:val="18"/>
          <w:szCs w:val="18"/>
        </w:rPr>
      </w:pPr>
      <w:r w:rsidRPr="00115198">
        <w:rPr>
          <w:rStyle w:val="FootnoteReference"/>
          <w:rFonts w:ascii="Arial" w:hAnsi="Arial" w:cs="Arial"/>
          <w:sz w:val="18"/>
          <w:szCs w:val="18"/>
        </w:rPr>
        <w:footnoteRef/>
      </w:r>
      <w:r w:rsidRPr="00115198" w:rsidR="006D276E">
        <w:rPr>
          <w:rFonts w:ascii="Arial" w:hAnsi="Arial" w:cs="Arial"/>
          <w:sz w:val="18"/>
          <w:szCs w:val="18"/>
        </w:rPr>
        <w:t xml:space="preserve"> </w:t>
      </w:r>
      <w:r w:rsidRPr="00115198" w:rsidR="00493034">
        <w:rPr>
          <w:rFonts w:ascii="Arial" w:hAnsi="Arial" w:cs="Arial"/>
          <w:sz w:val="18"/>
          <w:szCs w:val="18"/>
        </w:rPr>
        <w:t>For instance, t</w:t>
      </w:r>
      <w:r w:rsidRPr="00115198">
        <w:rPr>
          <w:rFonts w:ascii="Arial" w:hAnsi="Arial" w:cs="Arial"/>
          <w:sz w:val="18"/>
          <w:szCs w:val="18"/>
        </w:rPr>
        <w:t xml:space="preserve">he Recommendation was referenced in the law 221/2015 in Italy, </w:t>
      </w:r>
      <w:r>
        <w:fldChar w:fldCharType="begin"/>
      </w:r>
      <w:r>
        <w:instrText xml:space="preserve"> HYPERLINK "https://www.minambiente.it/pagina/made-green-italy" </w:instrText>
      </w:r>
      <w:r>
        <w:fldChar w:fldCharType="separate"/>
      </w:r>
      <w:r w:rsidRPr="00115198">
        <w:rPr>
          <w:rStyle w:val="Hyperlink"/>
          <w:rFonts w:ascii="Arial" w:hAnsi="Arial" w:cs="Arial"/>
          <w:sz w:val="18"/>
          <w:szCs w:val="18"/>
        </w:rPr>
        <w:t>establishing the “Made Green in Italy” scheme</w:t>
      </w:r>
      <w:r>
        <w:fldChar w:fldCharType="end"/>
      </w:r>
      <w:r w:rsidRPr="00115198">
        <w:rPr>
          <w:rFonts w:ascii="Arial" w:hAnsi="Arial" w:cs="Arial"/>
          <w:sz w:val="18"/>
          <w:szCs w:val="18"/>
        </w:rPr>
        <w:t xml:space="preserve">. </w:t>
      </w:r>
      <w:r w:rsidRPr="00115198" w:rsidR="00FA469A">
        <w:rPr>
          <w:rFonts w:ascii="Arial" w:hAnsi="Arial" w:cs="Arial"/>
          <w:sz w:val="18"/>
          <w:szCs w:val="18"/>
        </w:rPr>
        <w:t xml:space="preserve">The methods were also taken up by companies. </w:t>
      </w:r>
      <w:r w:rsidRPr="00115198">
        <w:rPr>
          <w:rFonts w:ascii="Arial" w:hAnsi="Arial" w:cs="Arial"/>
          <w:sz w:val="18"/>
          <w:szCs w:val="18"/>
        </w:rPr>
        <w:t xml:space="preserve">A </w:t>
      </w:r>
      <w:r>
        <w:fldChar w:fldCharType="begin"/>
      </w:r>
      <w:r>
        <w:instrText xml:space="preserve"> HYPERLINK "https://ec.europa.eu/eusurvey/runner/USESURVEYPEF" </w:instrText>
      </w:r>
      <w:r>
        <w:fldChar w:fldCharType="separate"/>
      </w:r>
      <w:r w:rsidRPr="00115198">
        <w:rPr>
          <w:rStyle w:val="Hyperlink"/>
          <w:rFonts w:ascii="Arial" w:hAnsi="Arial" w:cs="Arial"/>
          <w:sz w:val="18"/>
          <w:szCs w:val="18"/>
        </w:rPr>
        <w:t>survey is running</w:t>
      </w:r>
      <w:r>
        <w:fldChar w:fldCharType="end"/>
      </w:r>
      <w:r w:rsidRPr="00115198">
        <w:rPr>
          <w:rFonts w:ascii="Arial" w:hAnsi="Arial" w:cs="Arial"/>
          <w:sz w:val="18"/>
          <w:szCs w:val="18"/>
        </w:rPr>
        <w:t xml:space="preserve"> until the 22 of June on the use of the PEF/ OEF methods and related PEFCRs and OEFSRs</w:t>
      </w:r>
      <w:r w:rsidRPr="00115198" w:rsidR="00493034">
        <w:rPr>
          <w:rFonts w:ascii="Arial" w:hAnsi="Arial" w:cs="Arial"/>
          <w:sz w:val="18"/>
          <w:szCs w:val="18"/>
        </w:rPr>
        <w:t>.</w:t>
      </w:r>
      <w:r w:rsidRPr="00115198">
        <w:rPr>
          <w:rFonts w:ascii="Arial" w:hAnsi="Arial" w:cs="Arial"/>
          <w:sz w:val="18"/>
          <w:szCs w:val="18"/>
        </w:rPr>
        <w:t xml:space="preserve"> </w:t>
      </w:r>
    </w:p>
  </w:footnote>
  <w:footnote w:id="14">
    <w:p w:rsidR="00D864BB" w:rsidRPr="00115198" w:rsidP="00115198">
      <w:pPr>
        <w:pStyle w:val="FootnoteText"/>
        <w:spacing w:after="0"/>
        <w:ind w:left="0" w:firstLine="0"/>
        <w:rPr>
          <w:rFonts w:ascii="Arial" w:hAnsi="Arial" w:cs="Arial"/>
          <w:sz w:val="18"/>
          <w:szCs w:val="18"/>
          <w:lang w:val="en-IE"/>
        </w:rPr>
      </w:pPr>
      <w:r w:rsidRPr="00115198">
        <w:rPr>
          <w:rStyle w:val="FootnoteReference"/>
          <w:rFonts w:ascii="Arial" w:hAnsi="Arial" w:cs="Arial"/>
          <w:sz w:val="18"/>
          <w:szCs w:val="18"/>
        </w:rPr>
        <w:footnoteRef/>
      </w:r>
      <w:r w:rsidRPr="00115198">
        <w:rPr>
          <w:rFonts w:ascii="Arial" w:hAnsi="Arial" w:cs="Arial"/>
          <w:sz w:val="18"/>
          <w:szCs w:val="18"/>
        </w:rPr>
        <w:t xml:space="preserve"> Climate change, ozone depletion, human toxicity – cancer, human toxicity – non-cancer, particulate matter, ionizing radiation – human health, photochemical ozone formation – human health, acidification, eutrophication – terrestrial, eutrophication – freshwater, eutrophication – marine, ecotoxicity – fresh water, land use, water use, resource use – minerals and metals, resource use – fossils.</w:t>
      </w:r>
    </w:p>
  </w:footnote>
  <w:footnote w:id="15">
    <w:p w:rsidR="00A506F7" w:rsidRPr="00115198" w:rsidP="00115198">
      <w:pPr>
        <w:pStyle w:val="FootnoteText"/>
        <w:spacing w:after="0"/>
        <w:ind w:left="0" w:firstLine="0"/>
        <w:rPr>
          <w:rFonts w:ascii="Arial" w:hAnsi="Arial" w:cs="Arial"/>
          <w:sz w:val="18"/>
          <w:szCs w:val="18"/>
          <w:lang w:val="en-IE"/>
        </w:rPr>
      </w:pPr>
      <w:r w:rsidRPr="00115198">
        <w:rPr>
          <w:rStyle w:val="FootnoteReference"/>
          <w:rFonts w:ascii="Arial" w:hAnsi="Arial" w:cs="Arial"/>
          <w:sz w:val="18"/>
          <w:szCs w:val="18"/>
        </w:rPr>
        <w:footnoteRef/>
      </w:r>
      <w:r w:rsidRPr="00115198">
        <w:rPr>
          <w:rFonts w:ascii="Arial" w:hAnsi="Arial" w:cs="Arial"/>
          <w:sz w:val="18"/>
          <w:szCs w:val="18"/>
        </w:rPr>
        <w:t xml:space="preserve"> Product Environmental Footprint Category Rules (PEFCRs) are Product category specific, life cycle based rules that complement general methodological guidance for PEF studies by providing further specification at the level of a specific product category.  Organisation Environmental Footprint Sector Rules (OEFSRs): Sector-specific, lifecycle-based rules that complement general methodological guidance for OEF studies by providing further specification at the level of a specific sector.</w:t>
      </w:r>
    </w:p>
  </w:footnote>
  <w:footnote w:id="16">
    <w:p w:rsidR="00463CC6" w:rsidRPr="00115198" w:rsidP="00115198">
      <w:pPr>
        <w:pStyle w:val="FootnoteText"/>
        <w:spacing w:after="0"/>
        <w:ind w:left="0" w:firstLine="0"/>
        <w:rPr>
          <w:rFonts w:ascii="Arial" w:hAnsi="Arial" w:cs="Arial"/>
          <w:sz w:val="18"/>
          <w:szCs w:val="18"/>
        </w:rPr>
      </w:pPr>
      <w:r w:rsidRPr="00115198">
        <w:rPr>
          <w:rStyle w:val="FootnoteReference"/>
          <w:rFonts w:ascii="Arial" w:hAnsi="Arial" w:cs="Arial"/>
          <w:sz w:val="18"/>
          <w:szCs w:val="18"/>
        </w:rPr>
        <w:footnoteRef/>
      </w:r>
      <w:r w:rsidRPr="00115198">
        <w:rPr>
          <w:rFonts w:ascii="Arial" w:hAnsi="Arial" w:cs="Arial"/>
          <w:sz w:val="18"/>
          <w:szCs w:val="18"/>
        </w:rPr>
        <w:t xml:space="preserve"> </w:t>
      </w:r>
      <w:r w:rsidRPr="00115198">
        <w:rPr>
          <w:rFonts w:ascii="Arial" w:hAnsi="Arial" w:cs="Arial"/>
          <w:sz w:val="18"/>
          <w:szCs w:val="18"/>
          <w:lang w:val="en-IE"/>
        </w:rPr>
        <w:tab/>
      </w:r>
      <w:r w:rsidRPr="00115198">
        <w:rPr>
          <w:rFonts w:ascii="Arial" w:hAnsi="Arial" w:cs="Arial"/>
          <w:sz w:val="18"/>
          <w:szCs w:val="18"/>
        </w:rPr>
        <w:t xml:space="preserve">74% of business respondents to the </w:t>
      </w:r>
      <w:r>
        <w:fldChar w:fldCharType="begin"/>
      </w:r>
      <w:r>
        <w:instrText xml:space="preserve"> HYPERLINK "https://ec.europa.eu/environment/eussd/smgp/pdf/EF_stakeholdercons19.pdf" </w:instrText>
      </w:r>
      <w:r>
        <w:fldChar w:fldCharType="separate"/>
      </w:r>
      <w:r w:rsidRPr="00115198">
        <w:rPr>
          <w:rStyle w:val="Hyperlink"/>
          <w:rFonts w:ascii="Arial" w:hAnsi="Arial" w:cs="Arial"/>
          <w:sz w:val="18"/>
          <w:szCs w:val="18"/>
        </w:rPr>
        <w:t>stakeholder consultations of 2018-19</w:t>
      </w:r>
      <w:r>
        <w:fldChar w:fldCharType="end"/>
      </w:r>
      <w:r w:rsidRPr="00115198">
        <w:rPr>
          <w:rFonts w:ascii="Arial" w:hAnsi="Arial" w:cs="Arial"/>
          <w:sz w:val="18"/>
          <w:szCs w:val="18"/>
        </w:rPr>
        <w:t xml:space="preserve"> </w:t>
      </w:r>
      <w:r w:rsidRPr="00115198" w:rsidR="00F40623">
        <w:rPr>
          <w:rFonts w:ascii="Arial" w:hAnsi="Arial" w:cs="Arial"/>
          <w:sz w:val="18"/>
          <w:szCs w:val="18"/>
        </w:rPr>
        <w:t>were</w:t>
      </w:r>
      <w:r w:rsidRPr="00115198">
        <w:rPr>
          <w:rFonts w:ascii="Arial" w:hAnsi="Arial" w:cs="Arial"/>
          <w:sz w:val="18"/>
          <w:szCs w:val="18"/>
        </w:rPr>
        <w:t xml:space="preserve"> using two or more methods</w:t>
      </w:r>
      <w:r w:rsidRPr="00115198" w:rsidR="009432CA">
        <w:rPr>
          <w:rFonts w:ascii="Arial" w:hAnsi="Arial" w:cs="Arial"/>
          <w:sz w:val="18"/>
          <w:szCs w:val="18"/>
        </w:rPr>
        <w:t xml:space="preserve"> and 51% participates in two or more initiatives. The costs reported ranged between €5 000 and €2 million</w:t>
      </w:r>
      <w:r w:rsidRPr="00115198">
        <w:rPr>
          <w:rFonts w:ascii="Arial" w:hAnsi="Arial" w:cs="Arial"/>
          <w:sz w:val="18"/>
          <w:szCs w:val="18"/>
        </w:rPr>
        <w:t xml:space="preserve">.  </w:t>
      </w:r>
    </w:p>
  </w:footnote>
  <w:footnote w:id="17">
    <w:p w:rsidR="006736ED" w:rsidRPr="00115198" w:rsidP="00115198">
      <w:pPr>
        <w:pStyle w:val="FootnoteText"/>
        <w:spacing w:after="0"/>
        <w:rPr>
          <w:rFonts w:ascii="Arial" w:hAnsi="Arial" w:cs="Arial"/>
          <w:sz w:val="18"/>
          <w:szCs w:val="18"/>
        </w:rPr>
      </w:pPr>
      <w:r w:rsidRPr="00115198">
        <w:rPr>
          <w:rStyle w:val="FootnoteReference"/>
          <w:rFonts w:ascii="Arial" w:hAnsi="Arial" w:cs="Arial"/>
          <w:sz w:val="18"/>
          <w:szCs w:val="18"/>
        </w:rPr>
        <w:footnoteRef/>
      </w:r>
      <w:r w:rsidRPr="00115198">
        <w:rPr>
          <w:rFonts w:ascii="Arial" w:hAnsi="Arial" w:cs="Arial"/>
          <w:sz w:val="18"/>
          <w:szCs w:val="18"/>
        </w:rPr>
        <w:t xml:space="preserve"> Regulation (EC) No 66/2010 of the European Parliament and of the Council of 25 November 2009 on the EU Ecolabel</w:t>
      </w:r>
      <w:r w:rsidRPr="00115198" w:rsidR="00115198">
        <w:rPr>
          <w:rFonts w:ascii="Arial" w:hAnsi="Arial" w:cs="Arial"/>
          <w:sz w:val="18"/>
          <w:szCs w:val="18"/>
        </w:rPr>
        <w:t>.</w:t>
      </w:r>
    </w:p>
  </w:footnote>
  <w:footnote w:id="18">
    <w:p w:rsidR="00EF4907" w:rsidRPr="00115198" w:rsidP="00115198">
      <w:pPr>
        <w:pStyle w:val="FootnoteText"/>
        <w:spacing w:after="0"/>
        <w:rPr>
          <w:rFonts w:ascii="Arial" w:hAnsi="Arial" w:cs="Arial"/>
          <w:sz w:val="18"/>
          <w:szCs w:val="18"/>
          <w:lang w:val="en-IE"/>
        </w:rPr>
      </w:pPr>
      <w:r w:rsidRPr="00115198">
        <w:rPr>
          <w:rStyle w:val="FootnoteReference"/>
          <w:rFonts w:ascii="Arial" w:hAnsi="Arial" w:cs="Arial"/>
          <w:sz w:val="18"/>
          <w:szCs w:val="18"/>
        </w:rPr>
        <w:footnoteRef/>
      </w:r>
      <w:r w:rsidRPr="00115198">
        <w:rPr>
          <w:rFonts w:ascii="Arial" w:hAnsi="Arial" w:cs="Arial"/>
          <w:sz w:val="18"/>
          <w:szCs w:val="18"/>
        </w:rPr>
        <w:t xml:space="preserve"> </w:t>
      </w:r>
      <w:r>
        <w:fldChar w:fldCharType="begin"/>
      </w:r>
      <w:r>
        <w:instrText xml:space="preserve"> HYPERLINK "https://ec.europa.eu/environment/eussd/smgp/pdf/EF_stakeholdercons19.pdf" </w:instrText>
      </w:r>
      <w:r>
        <w:fldChar w:fldCharType="separate"/>
      </w:r>
      <w:r w:rsidRPr="00115198">
        <w:rPr>
          <w:rStyle w:val="Hyperlink"/>
          <w:rFonts w:ascii="Arial" w:hAnsi="Arial" w:cs="Arial"/>
          <w:sz w:val="18"/>
          <w:szCs w:val="18"/>
          <w:lang w:val="en-IE"/>
        </w:rPr>
        <w:t>See the report</w:t>
      </w:r>
      <w:r>
        <w:fldChar w:fldCharType="end"/>
      </w:r>
      <w:r w:rsidRPr="00115198">
        <w:rPr>
          <w:rFonts w:ascii="Arial" w:hAnsi="Arial" w:cs="Arial"/>
          <w:sz w:val="18"/>
          <w:szCs w:val="18"/>
          <w:lang w:val="en-IE"/>
        </w:rPr>
        <w:t xml:space="preserve"> on the consultation activities carried out in 2018-19</w:t>
      </w:r>
      <w:r w:rsidRPr="00115198" w:rsidR="009A6FBA">
        <w:rPr>
          <w:rFonts w:ascii="Arial" w:hAnsi="Arial" w:cs="Arial"/>
          <w:sz w:val="18"/>
          <w:szCs w:val="18"/>
          <w:lang w:val="en-IE"/>
        </w:rPr>
        <w:t>.</w:t>
      </w:r>
      <w:r w:rsidRPr="00115198">
        <w:rPr>
          <w:rFonts w:ascii="Arial" w:hAnsi="Arial" w:cs="Arial"/>
          <w:sz w:val="18"/>
          <w:szCs w:val="18"/>
          <w:lang w:val="en-I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0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035" w:rsidP="00E72EF2">
    <w:pPr>
      <w:pStyle w:val="Header"/>
      <w:jc w:val="center"/>
    </w:pPr>
    <w:r>
      <w:rPr>
        <w:rFonts w:ascii="Arial" w:hAnsi="Arial" w:cs="Arial"/>
        <w:noProof/>
        <w:lang w:val="fr-BE" w:eastAsia="fr-BE"/>
      </w:rPr>
      <w:drawing>
        <wp:inline distT="0" distB="0" distL="0" distR="0">
          <wp:extent cx="1908175" cy="508635"/>
          <wp:effectExtent l="0" t="0" r="0" b="5715"/>
          <wp:docPr id="1" name="Picture 1" descr="logo-ce-horizontal-en-quadri-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e-horizontal-en-quadri-lr"/>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8175" cy="50863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035" w:rsidP="00E72EF2">
    <w:pPr>
      <w:pStyle w:val="Header"/>
      <w:jc w:val="center"/>
    </w:pPr>
    <w:r>
      <w:rPr>
        <w:rFonts w:ascii="Arial" w:hAnsi="Arial" w:cs="Arial"/>
        <w:noProof/>
        <w:lang w:val="fr-BE" w:eastAsia="fr-BE"/>
      </w:rPr>
      <w:drawing>
        <wp:inline distT="0" distB="0" distL="0" distR="0">
          <wp:extent cx="1908175" cy="508635"/>
          <wp:effectExtent l="0" t="0" r="0" b="5715"/>
          <wp:docPr id="2" name="Picture 2" descr="logo-ce-horizontal-en-quadri-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e-horizontal-en-quadri-lr"/>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8175" cy="5086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1D2219B2"/>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B"/>
    <w:multiLevelType w:val="multilevel"/>
    <w:tmpl w:val="0000000B"/>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D0D5E5F"/>
    <w:multiLevelType w:val="hybridMultilevel"/>
    <w:tmpl w:val="594C4F24"/>
    <w:lvl w:ilvl="0">
      <w:start w:val="1"/>
      <w:numFmt w:val="bullet"/>
      <w:lvlText w:val=""/>
      <w:lvlJc w:val="left"/>
      <w:pPr>
        <w:ind w:left="360" w:hanging="360"/>
      </w:pPr>
      <w:rPr>
        <w:rFonts w:ascii="Symbol" w:hAnsi="Symbol" w:hint="default"/>
      </w:rPr>
    </w:lvl>
    <w:lvl w:ilvl="1">
      <w:start w:val="0"/>
      <w:numFmt w:val="bullet"/>
      <w:lvlText w:val="-"/>
      <w:lvlJc w:val="left"/>
      <w:pPr>
        <w:ind w:left="1080" w:hanging="360"/>
      </w:pPr>
      <w:rPr>
        <w:rFonts w:ascii="Times New Roman" w:eastAsia="Times New Roman" w:hAnsi="Times New Roman"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15DF30EF"/>
    <w:multiLevelType w:val="hybridMultilevel"/>
    <w:tmpl w:val="2D18701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7BD6756"/>
    <w:multiLevelType w:val="hybridMultilevel"/>
    <w:tmpl w:val="348AE3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F5E1645"/>
    <w:multiLevelType w:val="hybridMultilevel"/>
    <w:tmpl w:val="1BCCB5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1155E22"/>
    <w:multiLevelType w:val="multilevel"/>
    <w:tmpl w:val="1BAC09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0C3537A"/>
    <w:multiLevelType w:val="hybridMultilevel"/>
    <w:tmpl w:val="82DE17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7BD0D30"/>
    <w:multiLevelType w:val="hybridMultilevel"/>
    <w:tmpl w:val="54FA96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A3C3D2A"/>
    <w:multiLevelType w:val="hybridMultilevel"/>
    <w:tmpl w:val="2FF42130"/>
    <w:lvl w:ilvl="0">
      <w:start w:val="1"/>
      <w:numFmt w:val="bullet"/>
      <w:lvlText w:val=""/>
      <w:lvlJc w:val="left"/>
      <w:pPr>
        <w:ind w:left="644"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3BB2521D"/>
    <w:multiLevelType w:val="hybridMultilevel"/>
    <w:tmpl w:val="C80C30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C7D15E4"/>
    <w:multiLevelType w:val="hybridMultilevel"/>
    <w:tmpl w:val="A4C8142A"/>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D341724"/>
    <w:multiLevelType w:val="hybridMultilevel"/>
    <w:tmpl w:val="07CED08E"/>
    <w:lvl w:ilvl="0">
      <w:start w:val="1"/>
      <w:numFmt w:val="bullet"/>
      <w:lvlText w:val="­"/>
      <w:lvlJc w:val="left"/>
      <w:pPr>
        <w:ind w:left="644" w:hanging="360"/>
      </w:pPr>
      <w:rPr>
        <w:rFonts w:ascii="Courier New" w:hAnsi="Courier New"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4F792AF0"/>
    <w:multiLevelType w:val="hybridMultilevel"/>
    <w:tmpl w:val="21BED8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5531C44"/>
    <w:multiLevelType w:val="hybridMultilevel"/>
    <w:tmpl w:val="07103E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22F0173"/>
    <w:multiLevelType w:val="hybridMultilevel"/>
    <w:tmpl w:val="E95893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95824B5"/>
    <w:multiLevelType w:val="hybridMultilevel"/>
    <w:tmpl w:val="F19203F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nsid w:val="6A6901C1"/>
    <w:multiLevelType w:val="singleLevel"/>
    <w:tmpl w:val="208841AE"/>
    <w:lvl w:ilvl="0">
      <w:start w:val="1"/>
      <w:numFmt w:val="bullet"/>
      <w:pStyle w:val="ListBullet1"/>
      <w:lvlText w:val=""/>
      <w:lvlJc w:val="left"/>
      <w:pPr>
        <w:tabs>
          <w:tab w:val="num" w:pos="1134"/>
        </w:tabs>
        <w:ind w:left="1134" w:hanging="283"/>
      </w:pPr>
      <w:rPr>
        <w:rFonts w:ascii="Symbol" w:hAnsi="Symbol" w:hint="default"/>
      </w:rPr>
    </w:lvl>
  </w:abstractNum>
  <w:abstractNum w:abstractNumId="19">
    <w:nsid w:val="6D2B5511"/>
    <w:multiLevelType w:val="singleLevel"/>
    <w:tmpl w:val="74A09970"/>
    <w:name w:val="List Bullet 1"/>
    <w:lvl w:ilvl="0">
      <w:start w:val="1"/>
      <w:numFmt w:val="bullet"/>
      <w:pStyle w:val="ListBullet"/>
      <w:lvlText w:val=""/>
      <w:lvlJc w:val="left"/>
      <w:pPr>
        <w:tabs>
          <w:tab w:val="num" w:pos="283"/>
        </w:tabs>
        <w:ind w:left="283" w:hanging="283"/>
      </w:pPr>
      <w:rPr>
        <w:rFonts w:ascii="Symbol" w:hAnsi="Symbol" w:hint="default"/>
      </w:rPr>
    </w:lvl>
  </w:abstractNum>
  <w:abstractNum w:abstractNumId="20">
    <w:nsid w:val="6D7B58CE"/>
    <w:multiLevelType w:val="hybridMultilevel"/>
    <w:tmpl w:val="55143764"/>
    <w:lvl w:ilvl="0">
      <w:start w:val="1"/>
      <w:numFmt w:val="bullet"/>
      <w:pStyle w:val="ListDash1"/>
      <w:lvlText w:val="–"/>
      <w:lvlJc w:val="left"/>
      <w:pPr>
        <w:tabs>
          <w:tab w:val="num" w:pos="1287"/>
        </w:tabs>
        <w:ind w:left="1287" w:hanging="283"/>
      </w:pPr>
      <w:rPr>
        <w:rFonts w:ascii="Times New Roman" w:hAnsi="Times New Roman" w:cs="Times New Roman" w:hint="default"/>
      </w:rPr>
    </w:lvl>
    <w:lvl w:ilvl="1">
      <w:start w:val="0"/>
      <w:numFmt w:val="bullet"/>
      <w:lvlText w:val="-"/>
      <w:lvlJc w:val="left"/>
      <w:pPr>
        <w:ind w:left="1593" w:hanging="360"/>
      </w:pPr>
      <w:rPr>
        <w:rFonts w:ascii="Times" w:eastAsia="Times New Roman" w:hAnsi="Times" w:cs="Times New Roman" w:hint="default"/>
      </w:rPr>
    </w:lvl>
    <w:lvl w:ilvl="2" w:tentative="1">
      <w:start w:val="1"/>
      <w:numFmt w:val="bullet"/>
      <w:lvlText w:val=""/>
      <w:lvlJc w:val="left"/>
      <w:pPr>
        <w:tabs>
          <w:tab w:val="num" w:pos="2313"/>
        </w:tabs>
        <w:ind w:left="2313" w:hanging="360"/>
      </w:pPr>
      <w:rPr>
        <w:rFonts w:ascii="Wingdings" w:hAnsi="Wingdings" w:hint="default"/>
      </w:rPr>
    </w:lvl>
    <w:lvl w:ilvl="3" w:tentative="1">
      <w:start w:val="1"/>
      <w:numFmt w:val="bullet"/>
      <w:lvlText w:val=""/>
      <w:lvlJc w:val="left"/>
      <w:pPr>
        <w:tabs>
          <w:tab w:val="num" w:pos="3033"/>
        </w:tabs>
        <w:ind w:left="3033" w:hanging="360"/>
      </w:pPr>
      <w:rPr>
        <w:rFonts w:ascii="Symbol" w:hAnsi="Symbol" w:hint="default"/>
      </w:rPr>
    </w:lvl>
    <w:lvl w:ilvl="4" w:tentative="1">
      <w:start w:val="1"/>
      <w:numFmt w:val="bullet"/>
      <w:lvlText w:val="o"/>
      <w:lvlJc w:val="left"/>
      <w:pPr>
        <w:tabs>
          <w:tab w:val="num" w:pos="3753"/>
        </w:tabs>
        <w:ind w:left="3753" w:hanging="360"/>
      </w:pPr>
      <w:rPr>
        <w:rFonts w:ascii="Courier New" w:hAnsi="Courier New" w:cs="Wingdings" w:hint="default"/>
      </w:rPr>
    </w:lvl>
    <w:lvl w:ilvl="5" w:tentative="1">
      <w:start w:val="1"/>
      <w:numFmt w:val="bullet"/>
      <w:lvlText w:val=""/>
      <w:lvlJc w:val="left"/>
      <w:pPr>
        <w:tabs>
          <w:tab w:val="num" w:pos="4473"/>
        </w:tabs>
        <w:ind w:left="4473" w:hanging="360"/>
      </w:pPr>
      <w:rPr>
        <w:rFonts w:ascii="Wingdings" w:hAnsi="Wingdings" w:hint="default"/>
      </w:rPr>
    </w:lvl>
    <w:lvl w:ilvl="6" w:tentative="1">
      <w:start w:val="1"/>
      <w:numFmt w:val="bullet"/>
      <w:lvlText w:val=""/>
      <w:lvlJc w:val="left"/>
      <w:pPr>
        <w:tabs>
          <w:tab w:val="num" w:pos="5193"/>
        </w:tabs>
        <w:ind w:left="5193" w:hanging="360"/>
      </w:pPr>
      <w:rPr>
        <w:rFonts w:ascii="Symbol" w:hAnsi="Symbol" w:hint="default"/>
      </w:rPr>
    </w:lvl>
    <w:lvl w:ilvl="7" w:tentative="1">
      <w:start w:val="1"/>
      <w:numFmt w:val="bullet"/>
      <w:lvlText w:val="o"/>
      <w:lvlJc w:val="left"/>
      <w:pPr>
        <w:tabs>
          <w:tab w:val="num" w:pos="5913"/>
        </w:tabs>
        <w:ind w:left="5913" w:hanging="360"/>
      </w:pPr>
      <w:rPr>
        <w:rFonts w:ascii="Courier New" w:hAnsi="Courier New" w:cs="Wingdings" w:hint="default"/>
      </w:rPr>
    </w:lvl>
    <w:lvl w:ilvl="8" w:tentative="1">
      <w:start w:val="1"/>
      <w:numFmt w:val="bullet"/>
      <w:lvlText w:val=""/>
      <w:lvlJc w:val="left"/>
      <w:pPr>
        <w:tabs>
          <w:tab w:val="num" w:pos="6633"/>
        </w:tabs>
        <w:ind w:left="6633" w:hanging="360"/>
      </w:pPr>
      <w:rPr>
        <w:rFonts w:ascii="Wingdings" w:hAnsi="Wingdings" w:hint="default"/>
      </w:rPr>
    </w:lvl>
  </w:abstractNum>
  <w:abstractNum w:abstractNumId="21">
    <w:nsid w:val="73850560"/>
    <w:multiLevelType w:val="hybridMultilevel"/>
    <w:tmpl w:val="AD342794"/>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530130B"/>
    <w:multiLevelType w:val="hybridMultilevel"/>
    <w:tmpl w:val="D3CA850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nsid w:val="76E626E6"/>
    <w:multiLevelType w:val="hybridMultilevel"/>
    <w:tmpl w:val="FDD8E8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0"/>
  </w:num>
  <w:num w:numId="4">
    <w:abstractNumId w:val="10"/>
  </w:num>
  <w:num w:numId="5">
    <w:abstractNumId w:val="3"/>
  </w:num>
  <w:num w:numId="6">
    <w:abstractNumId w:val="22"/>
  </w:num>
  <w:num w:numId="7">
    <w:abstractNumId w:val="17"/>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num>
  <w:num w:numId="14">
    <w:abstractNumId w:val="20"/>
  </w:num>
  <w:num w:numId="15">
    <w:abstractNumId w:val="20"/>
  </w:num>
  <w:num w:numId="16">
    <w:abstractNumId w:val="16"/>
  </w:num>
  <w:num w:numId="17">
    <w:abstractNumId w:val="8"/>
  </w:num>
  <w:num w:numId="18">
    <w:abstractNumId w:val="9"/>
  </w:num>
  <w:num w:numId="19">
    <w:abstractNumId w:val="5"/>
  </w:num>
  <w:num w:numId="20">
    <w:abstractNumId w:val="11"/>
  </w:num>
  <w:num w:numId="21">
    <w:abstractNumId w:val="15"/>
  </w:num>
  <w:num w:numId="22">
    <w:abstractNumId w:val="6"/>
  </w:num>
  <w:num w:numId="23">
    <w:abstractNumId w:val="21"/>
  </w:num>
  <w:num w:numId="24">
    <w:abstractNumId w:val="12"/>
  </w:num>
  <w:num w:numId="25">
    <w:abstractNumId w:val="4"/>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284"/>
  <w:hyphenationZone w:val="425"/>
  <w:doNotShadeFormData/>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7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6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E6661"/>
    <w:pPr>
      <w:tabs>
        <w:tab w:val="center" w:pos="4153"/>
        <w:tab w:val="right" w:pos="8306"/>
      </w:tabs>
    </w:pPr>
  </w:style>
  <w:style w:type="paragraph" w:styleId="FootnoteText">
    <w:name w:val="footnote text"/>
    <w:aliases w:val="Carattere,Char,Footnote Text Char Char,Footnote Text Char1,Footnote Text_EP-LC,Footnote ak,Footnote ak Char Char,Footnotes,Footnotes Char Char,Footnotes Char1,Fußnote,fn,fn Char Char,fn Char1,footnote text Char Char,footnote text Char1,ft"/>
    <w:basedOn w:val="Normal"/>
    <w:link w:val="FootnoteTextChar"/>
    <w:qFormat/>
    <w:rsid w:val="009E6661"/>
    <w:pPr>
      <w:spacing w:after="240"/>
      <w:ind w:left="357" w:hanging="357"/>
      <w:jc w:val="both"/>
    </w:pPr>
    <w:rPr>
      <w:sz w:val="20"/>
      <w:szCs w:val="20"/>
    </w:rPr>
  </w:style>
  <w:style w:type="character" w:styleId="FootnoteReference">
    <w:name w:val="footnote reference"/>
    <w:aliases w:val=" BVI fnr,-E Fußnotenzeichen,Appel note de bas de p,BVI fnr,EN Footnote Reference,Footnote Reference Superscript,Footnote number,Footnote reference number,Footnote symbol,Nota,Ref,SUPERS,note TESI,number,number Char Char,styl,styli"/>
    <w:uiPriority w:val="99"/>
    <w:qFormat/>
    <w:rsid w:val="009E6661"/>
    <w:rPr>
      <w:vertAlign w:val="superscript"/>
    </w:rPr>
  </w:style>
  <w:style w:type="character" w:customStyle="1" w:styleId="FootnoteTextChar">
    <w:name w:val="Footnote Text Char"/>
    <w:aliases w:val="Carattere Char,Char Char,Footnote Text Char Char Char,Footnote Text Char1 Char,Footnote ak Char,Footnote ak Char Char Char,Footnotes Char,Footnotes Char Char Char,Fußnote Char,fn Char,fn Char Char Char,footnote text Char Char Char"/>
    <w:link w:val="FootnoteText"/>
    <w:rsid w:val="009E6661"/>
    <w:rPr>
      <w:lang w:val="en-GB" w:eastAsia="en-GB" w:bidi="ar-SA"/>
    </w:rPr>
  </w:style>
  <w:style w:type="paragraph" w:styleId="ListBullet">
    <w:name w:val="List Bullet"/>
    <w:basedOn w:val="Normal"/>
    <w:rsid w:val="009E6661"/>
    <w:pPr>
      <w:numPr>
        <w:numId w:val="1"/>
      </w:numPr>
      <w:spacing w:before="120" w:after="120"/>
      <w:jc w:val="both"/>
    </w:pPr>
    <w:rPr>
      <w:lang w:eastAsia="de-DE"/>
    </w:rPr>
  </w:style>
  <w:style w:type="paragraph" w:customStyle="1" w:styleId="Text1">
    <w:name w:val="Text 1"/>
    <w:basedOn w:val="Normal"/>
    <w:rsid w:val="009E6661"/>
    <w:pPr>
      <w:spacing w:before="120" w:after="120"/>
      <w:ind w:left="850"/>
      <w:jc w:val="both"/>
    </w:pPr>
    <w:rPr>
      <w:lang w:eastAsia="en-US"/>
    </w:rPr>
  </w:style>
  <w:style w:type="character" w:styleId="Emphasis">
    <w:name w:val="Emphasis"/>
    <w:qFormat/>
    <w:rsid w:val="009E6661"/>
    <w:rPr>
      <w:b/>
      <w:bCs/>
      <w:i w:val="0"/>
      <w:iCs w:val="0"/>
    </w:rPr>
  </w:style>
  <w:style w:type="paragraph" w:customStyle="1" w:styleId="ListBullet1">
    <w:name w:val="List Bullet 1"/>
    <w:basedOn w:val="Normal"/>
    <w:rsid w:val="009E6661"/>
    <w:pPr>
      <w:numPr>
        <w:numId w:val="2"/>
      </w:numPr>
      <w:spacing w:before="120" w:after="120"/>
      <w:jc w:val="both"/>
    </w:pPr>
    <w:rPr>
      <w:lang w:eastAsia="de-DE"/>
    </w:rPr>
  </w:style>
  <w:style w:type="character" w:customStyle="1" w:styleId="at31">
    <w:name w:val="a__t31"/>
    <w:rsid w:val="009E6661"/>
    <w:rPr>
      <w:b/>
      <w:bCs/>
    </w:rPr>
  </w:style>
  <w:style w:type="paragraph" w:styleId="NormalWeb">
    <w:name w:val="Normal (Web)"/>
    <w:basedOn w:val="Normal"/>
    <w:link w:val="NormalWebChar"/>
    <w:rsid w:val="00D03063"/>
    <w:pPr>
      <w:spacing w:before="100" w:beforeAutospacing="1" w:after="100" w:afterAutospacing="1"/>
    </w:pPr>
  </w:style>
  <w:style w:type="character" w:customStyle="1" w:styleId="NormalWebChar">
    <w:name w:val="Normal (Web) Char"/>
    <w:link w:val="NormalWeb"/>
    <w:rsid w:val="00D03063"/>
    <w:rPr>
      <w:sz w:val="24"/>
      <w:szCs w:val="24"/>
      <w:lang w:val="en-GB" w:eastAsia="en-GB" w:bidi="ar-SA"/>
    </w:rPr>
  </w:style>
  <w:style w:type="paragraph" w:customStyle="1" w:styleId="ListDash1">
    <w:name w:val="List Dash 1"/>
    <w:basedOn w:val="Normal"/>
    <w:qFormat/>
    <w:rsid w:val="001C4CCF"/>
    <w:pPr>
      <w:numPr>
        <w:numId w:val="3"/>
      </w:numPr>
    </w:pPr>
    <w:rPr>
      <w:lang w:val="fr-FR"/>
    </w:rPr>
  </w:style>
  <w:style w:type="paragraph" w:styleId="Footer">
    <w:name w:val="footer"/>
    <w:basedOn w:val="Normal"/>
    <w:rsid w:val="00B07956"/>
    <w:pPr>
      <w:tabs>
        <w:tab w:val="center" w:pos="4536"/>
        <w:tab w:val="right" w:pos="9072"/>
      </w:tabs>
    </w:pPr>
  </w:style>
  <w:style w:type="character" w:styleId="PageNumber">
    <w:name w:val="page number"/>
    <w:basedOn w:val="DefaultParagraphFont"/>
    <w:rsid w:val="00B07956"/>
  </w:style>
  <w:style w:type="paragraph" w:styleId="BalloonText">
    <w:name w:val="Balloon Text"/>
    <w:basedOn w:val="Normal"/>
    <w:semiHidden/>
    <w:rsid w:val="00991122"/>
    <w:rPr>
      <w:rFonts w:ascii="Tahoma" w:hAnsi="Tahoma" w:cs="Tahoma"/>
      <w:sz w:val="16"/>
      <w:szCs w:val="16"/>
    </w:rPr>
  </w:style>
  <w:style w:type="character" w:styleId="Hyperlink">
    <w:name w:val="Hyperlink"/>
    <w:uiPriority w:val="99"/>
    <w:unhideWhenUsed/>
    <w:rsid w:val="003154F3"/>
    <w:rPr>
      <w:color w:val="0000FF"/>
      <w:u w:val="single"/>
    </w:rPr>
  </w:style>
  <w:style w:type="character" w:styleId="CommentReference">
    <w:name w:val="annotation reference"/>
    <w:rsid w:val="000E132C"/>
    <w:rPr>
      <w:sz w:val="16"/>
      <w:szCs w:val="16"/>
    </w:rPr>
  </w:style>
  <w:style w:type="paragraph" w:styleId="CommentText">
    <w:name w:val="annotation text"/>
    <w:basedOn w:val="Normal"/>
    <w:link w:val="CommentTextChar"/>
    <w:rsid w:val="000E132C"/>
    <w:rPr>
      <w:sz w:val="20"/>
      <w:szCs w:val="20"/>
    </w:rPr>
  </w:style>
  <w:style w:type="character" w:customStyle="1" w:styleId="CommentTextChar">
    <w:name w:val="Comment Text Char"/>
    <w:basedOn w:val="DefaultParagraphFont"/>
    <w:link w:val="CommentText"/>
    <w:rsid w:val="000E132C"/>
  </w:style>
  <w:style w:type="paragraph" w:styleId="CommentSubject">
    <w:name w:val="annotation subject"/>
    <w:basedOn w:val="CommentText"/>
    <w:next w:val="CommentText"/>
    <w:link w:val="CommentSubjectChar"/>
    <w:rsid w:val="000E132C"/>
    <w:rPr>
      <w:b/>
      <w:bCs/>
    </w:rPr>
  </w:style>
  <w:style w:type="character" w:customStyle="1" w:styleId="CommentSubjectChar">
    <w:name w:val="Comment Subject Char"/>
    <w:link w:val="CommentSubject"/>
    <w:rsid w:val="000E132C"/>
    <w:rPr>
      <w:b/>
      <w:bCs/>
    </w:rPr>
  </w:style>
  <w:style w:type="paragraph" w:styleId="ListParagraph">
    <w:name w:val="List Paragraph"/>
    <w:basedOn w:val="Normal"/>
    <w:uiPriority w:val="34"/>
    <w:qFormat/>
    <w:rsid w:val="00DB5159"/>
    <w:pPr>
      <w:ind w:left="720"/>
      <w:contextualSpacing/>
    </w:pPr>
  </w:style>
  <w:style w:type="character" w:styleId="FollowedHyperlink">
    <w:name w:val="FollowedHyperlink"/>
    <w:basedOn w:val="DefaultParagraphFont"/>
    <w:rsid w:val="00BF2D27"/>
    <w:rPr>
      <w:color w:val="800080" w:themeColor="followedHyperlink"/>
      <w:u w:val="single"/>
    </w:rPr>
  </w:style>
  <w:style w:type="paragraph" w:styleId="Revision">
    <w:name w:val="Revision"/>
    <w:hidden/>
    <w:uiPriority w:val="99"/>
    <w:semiHidden/>
    <w:rsid w:val="00223B91"/>
    <w:rPr>
      <w:sz w:val="24"/>
      <w:szCs w:val="24"/>
    </w:rPr>
  </w:style>
  <w:style w:type="paragraph" w:customStyle="1" w:styleId="Default">
    <w:name w:val="Default"/>
    <w:rsid w:val="008B2D2D"/>
    <w:pPr>
      <w:autoSpaceDE w:val="0"/>
      <w:autoSpaceDN w:val="0"/>
      <w:adjustRightInd w:val="0"/>
    </w:pPr>
    <w:rPr>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4.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_rels/header4.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79686-C762-49D8-8D13-16C8049C0C5A}">
  <ds:schemaRefs>
    <ds:schemaRef ds:uri="http://schemas.microsoft.com/office/2006/metadata/longProperties"/>
  </ds:schemaRefs>
</ds:datastoreItem>
</file>

<file path=customXml/itemProps2.xml><?xml version="1.0" encoding="utf-8"?>
<ds:datastoreItem xmlns:ds="http://schemas.openxmlformats.org/officeDocument/2006/customXml" ds:itemID="{08752354-2447-4E83-910E-7DFFA27F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