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E72EF2" w:rsidRPr="00E058EB">
      <w:pPr>
        <w:rPr>
          <w:rFonts w:ascii="Arial" w:hAnsi="Arial" w:cs="Arial"/>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7507"/>
      </w:tblGrid>
      <w:tr w:rsidTr="000166D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314" w:type="dxa"/>
            <w:gridSpan w:val="2"/>
            <w:tcBorders>
              <w:bottom w:val="single" w:sz="4" w:space="0" w:color="auto"/>
            </w:tcBorders>
            <w:shd w:val="clear" w:color="auto" w:fill="0000FF"/>
          </w:tcPr>
          <w:p w:rsidR="009E6661" w:rsidP="00824525">
            <w:pPr>
              <w:spacing w:before="60" w:after="60"/>
              <w:jc w:val="center"/>
              <w:rPr>
                <w:rFonts w:ascii="Arial" w:hAnsi="Arial" w:cs="Arial"/>
                <w:b/>
                <w:sz w:val="22"/>
                <w:szCs w:val="22"/>
              </w:rPr>
            </w:pPr>
            <w:r>
              <w:rPr>
                <w:rFonts w:ascii="Arial" w:hAnsi="Arial" w:cs="Arial"/>
                <w:b/>
                <w:sz w:val="22"/>
                <w:szCs w:val="22"/>
              </w:rPr>
              <w:t>INCEPTION  IMPACT  ASSESSMENT</w:t>
            </w:r>
            <w:r w:rsidRPr="00824525" w:rsidR="0050102A">
              <w:rPr>
                <w:rFonts w:ascii="Arial" w:hAnsi="Arial" w:cs="Arial"/>
                <w:b/>
                <w:sz w:val="22"/>
                <w:szCs w:val="22"/>
              </w:rPr>
              <w:t xml:space="preserve"> </w:t>
            </w:r>
          </w:p>
          <w:p w:rsidR="00745991" w:rsidRPr="00824525" w:rsidP="00824525">
            <w:pPr>
              <w:spacing w:before="60" w:after="60"/>
              <w:jc w:val="center"/>
              <w:rPr>
                <w:rFonts w:ascii="Arial" w:hAnsi="Arial" w:cs="Arial"/>
                <w:b/>
                <w:i/>
                <w:sz w:val="22"/>
                <w:szCs w:val="22"/>
              </w:rPr>
            </w:pPr>
          </w:p>
        </w:tc>
      </w:tr>
      <w:tr w:rsidTr="008A5D20">
        <w:tblPrEx>
          <w:tblW w:w="10314" w:type="dxa"/>
          <w:tblLayout w:type="fixed"/>
          <w:tblLook w:val="01E0"/>
        </w:tblPrEx>
        <w:tc>
          <w:tcPr>
            <w:tcW w:w="10314" w:type="dxa"/>
            <w:gridSpan w:val="2"/>
            <w:tcBorders>
              <w:bottom w:val="single" w:sz="4" w:space="0" w:color="auto"/>
            </w:tcBorders>
            <w:shd w:val="clear" w:color="auto" w:fill="E6E6E6"/>
          </w:tcPr>
          <w:p w:rsidR="00745991" w:rsidRPr="00745991" w:rsidP="00333A70">
            <w:pPr>
              <w:spacing w:before="60" w:after="60"/>
              <w:jc w:val="both"/>
              <w:rPr>
                <w:rFonts w:ascii="Arial" w:hAnsi="Arial" w:cs="Arial"/>
                <w:color w:val="000080"/>
                <w:sz w:val="18"/>
                <w:szCs w:val="18"/>
              </w:rPr>
            </w:pPr>
          </w:p>
        </w:tc>
      </w:tr>
      <w:tr w:rsidTr="000166D2">
        <w:tblPrEx>
          <w:tblW w:w="10314" w:type="dxa"/>
          <w:tblLayout w:type="fixed"/>
          <w:tblLook w:val="01E0"/>
        </w:tblPrEx>
        <w:tc>
          <w:tcPr>
            <w:tcW w:w="2807" w:type="dxa"/>
            <w:tcBorders>
              <w:bottom w:val="single" w:sz="4" w:space="0" w:color="auto"/>
            </w:tcBorders>
            <w:shd w:val="clear" w:color="auto" w:fill="E6E6E6"/>
          </w:tcPr>
          <w:p w:rsidR="009E6661" w:rsidRPr="00824525" w:rsidP="00824525">
            <w:pPr>
              <w:spacing w:before="60" w:after="60"/>
              <w:jc w:val="both"/>
              <w:rPr>
                <w:rFonts w:ascii="Arial" w:hAnsi="Arial" w:cs="Arial"/>
                <w:b/>
                <w:bCs/>
                <w:smallCaps/>
                <w:sz w:val="20"/>
                <w:szCs w:val="20"/>
              </w:rPr>
            </w:pPr>
            <w:r w:rsidRPr="00824525">
              <w:rPr>
                <w:rFonts w:ascii="Arial" w:hAnsi="Arial" w:cs="Arial"/>
                <w:b/>
                <w:bCs/>
                <w:smallCaps/>
                <w:sz w:val="20"/>
                <w:szCs w:val="20"/>
              </w:rPr>
              <w:t>Title of the initiative</w:t>
            </w:r>
          </w:p>
        </w:tc>
        <w:tc>
          <w:tcPr>
            <w:tcW w:w="7507" w:type="dxa"/>
            <w:shd w:val="clear" w:color="auto" w:fill="auto"/>
          </w:tcPr>
          <w:p w:rsidR="00BF2D27" w:rsidRPr="00C6642F" w:rsidP="00824525">
            <w:pPr>
              <w:spacing w:before="60" w:after="60"/>
              <w:jc w:val="both"/>
              <w:rPr>
                <w:rFonts w:ascii="Arial" w:hAnsi="Arial" w:cs="Arial"/>
                <w:color w:val="000080"/>
                <w:sz w:val="20"/>
                <w:szCs w:val="20"/>
              </w:rPr>
            </w:pPr>
            <w:r w:rsidRPr="00C6642F">
              <w:rPr>
                <w:rFonts w:ascii="Arial" w:hAnsi="Arial" w:cs="Arial"/>
                <w:color w:val="000080"/>
                <w:sz w:val="20"/>
                <w:szCs w:val="20"/>
              </w:rPr>
              <w:t>Update of concentration limit values of persistent organic pollutants in waste</w:t>
            </w:r>
          </w:p>
        </w:tc>
      </w:tr>
      <w:tr w:rsidTr="00EE09E0">
        <w:tblPrEx>
          <w:tblW w:w="10314" w:type="dxa"/>
          <w:tblLayout w:type="fixed"/>
          <w:tblLook w:val="01E0"/>
        </w:tblPrEx>
        <w:tc>
          <w:tcPr>
            <w:tcW w:w="2807" w:type="dxa"/>
            <w:tcBorders>
              <w:bottom w:val="single" w:sz="4" w:space="0" w:color="auto"/>
              <w:right w:val="single" w:sz="4" w:space="0" w:color="auto"/>
            </w:tcBorders>
            <w:shd w:val="clear" w:color="auto" w:fill="E6E6E6"/>
          </w:tcPr>
          <w:p w:rsidR="005D7950" w:rsidRPr="00824525" w:rsidP="00085D8B">
            <w:pPr>
              <w:spacing w:before="60" w:after="60"/>
              <w:jc w:val="both"/>
              <w:rPr>
                <w:rFonts w:ascii="Arial" w:hAnsi="Arial" w:cs="Arial"/>
                <w:b/>
                <w:bCs/>
                <w:smallCaps/>
                <w:sz w:val="20"/>
                <w:szCs w:val="20"/>
              </w:rPr>
            </w:pPr>
            <w:r w:rsidRPr="00824525">
              <w:rPr>
                <w:rFonts w:ascii="Arial" w:hAnsi="Arial" w:cs="Arial"/>
                <w:b/>
                <w:bCs/>
                <w:smallCaps/>
                <w:sz w:val="20"/>
                <w:szCs w:val="20"/>
              </w:rPr>
              <w:t xml:space="preserve">Lead DG </w:t>
            </w:r>
            <w:r>
              <w:rPr>
                <w:rFonts w:ascii="Arial" w:hAnsi="Arial" w:cs="Arial"/>
                <w:b/>
                <w:bCs/>
                <w:smallCaps/>
                <w:sz w:val="20"/>
                <w:szCs w:val="20"/>
              </w:rPr>
              <w:t>(</w:t>
            </w:r>
            <w:r w:rsidRPr="00824525">
              <w:rPr>
                <w:rFonts w:ascii="Arial" w:hAnsi="Arial" w:cs="Arial"/>
                <w:b/>
                <w:bCs/>
                <w:smallCaps/>
                <w:sz w:val="20"/>
                <w:szCs w:val="20"/>
              </w:rPr>
              <w:t>responsible unit</w:t>
            </w:r>
            <w:r>
              <w:rPr>
                <w:rFonts w:ascii="Arial" w:hAnsi="Arial" w:cs="Arial"/>
                <w:b/>
                <w:bCs/>
                <w:smallCaps/>
                <w:sz w:val="20"/>
                <w:szCs w:val="20"/>
              </w:rPr>
              <w:t xml:space="preserve">) </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5D7950" w:rsidRPr="00C6642F" w:rsidP="00C6642F">
            <w:pPr>
              <w:spacing w:before="60" w:after="60"/>
              <w:rPr>
                <w:rFonts w:ascii="Arial" w:hAnsi="Arial" w:cs="Arial"/>
                <w:color w:val="000080"/>
                <w:sz w:val="20"/>
                <w:szCs w:val="20"/>
              </w:rPr>
            </w:pPr>
            <w:r>
              <w:rPr>
                <w:rFonts w:ascii="Arial" w:hAnsi="Arial" w:cs="Arial"/>
                <w:color w:val="000080"/>
                <w:sz w:val="20"/>
                <w:szCs w:val="20"/>
              </w:rPr>
              <w:t xml:space="preserve">DG </w:t>
            </w:r>
            <w:r w:rsidRPr="00C6642F" w:rsidR="00C6642F">
              <w:rPr>
                <w:rFonts w:ascii="Arial" w:hAnsi="Arial" w:cs="Arial"/>
                <w:color w:val="000080"/>
                <w:sz w:val="20"/>
                <w:szCs w:val="20"/>
              </w:rPr>
              <w:t>ENV B.3. Waste Management &amp; Secondary Materials</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423AEF" w:rsidRPr="00824525" w:rsidP="00824525">
            <w:pPr>
              <w:spacing w:before="60" w:after="60"/>
              <w:jc w:val="both"/>
              <w:rPr>
                <w:rFonts w:ascii="Arial" w:hAnsi="Arial" w:cs="Arial"/>
                <w:b/>
                <w:bCs/>
                <w:smallCaps/>
                <w:sz w:val="20"/>
                <w:szCs w:val="20"/>
              </w:rPr>
            </w:pPr>
            <w:r w:rsidRPr="00824525">
              <w:rPr>
                <w:rFonts w:ascii="Arial" w:hAnsi="Arial" w:cs="Arial"/>
                <w:b/>
                <w:bCs/>
                <w:smallCaps/>
                <w:sz w:val="20"/>
                <w:szCs w:val="20"/>
              </w:rPr>
              <w:t>Likely Type of initiative</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423AEF" w:rsidRPr="00C6642F" w:rsidP="00BD770F">
            <w:pPr>
              <w:spacing w:before="60" w:after="60"/>
              <w:jc w:val="both"/>
              <w:rPr>
                <w:rFonts w:ascii="Arial" w:hAnsi="Arial" w:cs="Arial"/>
                <w:color w:val="000080"/>
                <w:sz w:val="20"/>
                <w:szCs w:val="20"/>
              </w:rPr>
            </w:pPr>
            <w:r w:rsidRPr="00C6642F">
              <w:rPr>
                <w:rFonts w:ascii="Arial" w:hAnsi="Arial" w:cs="Arial"/>
                <w:color w:val="000080"/>
                <w:sz w:val="20"/>
                <w:szCs w:val="20"/>
              </w:rPr>
              <w:t>Proposal for a regulation of the European Parliament and of the Council</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002DFF" w:rsidRPr="00824525" w:rsidP="00234D8B">
            <w:pPr>
              <w:spacing w:before="60" w:after="60"/>
              <w:jc w:val="both"/>
              <w:rPr>
                <w:rFonts w:ascii="Arial" w:hAnsi="Arial" w:cs="Arial"/>
                <w:b/>
                <w:bCs/>
                <w:smallCaps/>
                <w:sz w:val="20"/>
                <w:szCs w:val="20"/>
              </w:rPr>
            </w:pPr>
            <w:r>
              <w:rPr>
                <w:rFonts w:ascii="Arial" w:hAnsi="Arial" w:cs="Arial"/>
                <w:b/>
                <w:bCs/>
                <w:smallCaps/>
                <w:sz w:val="20"/>
                <w:szCs w:val="20"/>
              </w:rPr>
              <w:t>Indicative Planning</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002DFF" w:rsidRPr="00C6642F" w:rsidP="00F7415C">
            <w:pPr>
              <w:spacing w:before="60" w:after="60"/>
              <w:jc w:val="both"/>
              <w:rPr>
                <w:rFonts w:ascii="Arial" w:hAnsi="Arial" w:cs="Arial"/>
                <w:color w:val="000080"/>
                <w:sz w:val="20"/>
                <w:szCs w:val="20"/>
                <w:highlight w:val="green"/>
              </w:rPr>
            </w:pPr>
            <w:r w:rsidRPr="008C0152">
              <w:rPr>
                <w:rFonts w:ascii="Arial" w:hAnsi="Arial" w:cs="Arial"/>
                <w:color w:val="000080"/>
                <w:sz w:val="20"/>
                <w:szCs w:val="20"/>
              </w:rPr>
              <w:t>Q</w:t>
            </w:r>
            <w:r w:rsidR="00F7415C">
              <w:rPr>
                <w:rFonts w:ascii="Arial" w:hAnsi="Arial" w:cs="Arial"/>
                <w:color w:val="000080"/>
                <w:sz w:val="20"/>
                <w:szCs w:val="20"/>
              </w:rPr>
              <w:t>2</w:t>
            </w:r>
            <w:r w:rsidRPr="008C0152">
              <w:rPr>
                <w:rFonts w:ascii="Arial" w:hAnsi="Arial" w:cs="Arial"/>
                <w:color w:val="000080"/>
                <w:sz w:val="20"/>
                <w:szCs w:val="20"/>
              </w:rPr>
              <w:t xml:space="preserve"> 20</w:t>
            </w:r>
            <w:r w:rsidRPr="008C0152" w:rsidR="00C6642F">
              <w:rPr>
                <w:rFonts w:ascii="Arial" w:hAnsi="Arial" w:cs="Arial"/>
                <w:color w:val="000080"/>
                <w:sz w:val="20"/>
                <w:szCs w:val="20"/>
              </w:rPr>
              <w:t>21</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8D5042" w:rsidRPr="00824525" w:rsidP="00224B13">
            <w:pPr>
              <w:spacing w:before="60" w:after="60"/>
              <w:jc w:val="both"/>
              <w:rPr>
                <w:rFonts w:ascii="Arial" w:hAnsi="Arial" w:cs="Arial"/>
                <w:b/>
                <w:bCs/>
                <w:smallCaps/>
                <w:sz w:val="20"/>
                <w:szCs w:val="20"/>
              </w:rPr>
            </w:pPr>
            <w:r>
              <w:rPr>
                <w:rFonts w:ascii="Arial" w:hAnsi="Arial" w:cs="Arial"/>
                <w:b/>
                <w:bCs/>
                <w:smallCaps/>
                <w:sz w:val="20"/>
                <w:szCs w:val="20"/>
              </w:rPr>
              <w:t>Additional Information</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8D5042" w:rsidRPr="00C6642F" w:rsidP="00671CAB">
            <w:pPr>
              <w:spacing w:before="60" w:after="60"/>
              <w:rPr>
                <w:rFonts w:ascii="Arial" w:hAnsi="Arial" w:cs="Arial"/>
                <w:color w:val="000080"/>
                <w:sz w:val="20"/>
                <w:szCs w:val="20"/>
              </w:rPr>
            </w:pPr>
            <w:r>
              <w:fldChar w:fldCharType="begin"/>
            </w:r>
            <w:r>
              <w:instrText xml:space="preserve"> HYPERLINK "https://ec.europa.eu/environment/chemicals/international_conventions/index_en.htm" </w:instrText>
            </w:r>
            <w:r>
              <w:fldChar w:fldCharType="separate"/>
            </w:r>
            <w:r w:rsidRPr="001135DB" w:rsidR="00C6642F">
              <w:rPr>
                <w:rStyle w:val="Hyperlink"/>
                <w:rFonts w:ascii="Arial" w:hAnsi="Arial" w:cs="Arial"/>
                <w:sz w:val="20"/>
                <w:szCs w:val="20"/>
              </w:rPr>
              <w:t>https://ec.europa.eu/environment/chemicals/international_conventions/index_en.htm</w:t>
            </w:r>
            <w:r>
              <w:fldChar w:fldCharType="end"/>
            </w:r>
            <w:r w:rsidR="00C6642F">
              <w:rPr>
                <w:rFonts w:ascii="Arial" w:hAnsi="Arial" w:cs="Arial"/>
                <w:color w:val="000080"/>
                <w:sz w:val="20"/>
                <w:szCs w:val="20"/>
              </w:rPr>
              <w:t xml:space="preserve"> </w:t>
            </w:r>
          </w:p>
        </w:tc>
      </w:tr>
      <w:tr w:rsidTr="000166D2">
        <w:tblPrEx>
          <w:tblW w:w="10314" w:type="dxa"/>
          <w:tblLayout w:type="fixed"/>
          <w:tblLook w:val="01E0"/>
        </w:tblPrEx>
        <w:tc>
          <w:tcPr>
            <w:tcW w:w="10314" w:type="dxa"/>
            <w:gridSpan w:val="2"/>
            <w:tcBorders>
              <w:bottom w:val="single" w:sz="4" w:space="0" w:color="auto"/>
              <w:right w:val="single" w:sz="4" w:space="0" w:color="auto"/>
            </w:tcBorders>
            <w:shd w:val="clear" w:color="auto" w:fill="E6E6E6"/>
          </w:tcPr>
          <w:p w:rsidR="00A120FB" w:rsidRPr="006D6952" w:rsidP="006D6952">
            <w:pPr>
              <w:spacing w:before="60" w:after="60"/>
              <w:jc w:val="both"/>
              <w:rPr>
                <w:rFonts w:ascii="Arial" w:hAnsi="Arial" w:cs="Arial"/>
                <w:sz w:val="18"/>
                <w:szCs w:val="18"/>
              </w:rPr>
            </w:pPr>
            <w:r>
              <w:rPr>
                <w:rFonts w:ascii="Arial" w:hAnsi="Arial" w:cs="Arial"/>
                <w:b/>
                <w:color w:val="FF0000"/>
                <w:sz w:val="18"/>
                <w:szCs w:val="18"/>
              </w:rPr>
              <w:t xml:space="preserve">The </w:t>
            </w:r>
            <w:r w:rsidRPr="00F50985" w:rsidR="00F50985">
              <w:rPr>
                <w:rFonts w:ascii="Arial" w:hAnsi="Arial" w:cs="Arial"/>
                <w:b/>
                <w:color w:val="FF0000"/>
                <w:sz w:val="18"/>
                <w:szCs w:val="18"/>
              </w:rPr>
              <w:t xml:space="preserve">Inception Impact Assessment </w:t>
            </w:r>
            <w:r>
              <w:rPr>
                <w:rFonts w:ascii="Arial" w:hAnsi="Arial" w:cs="Arial"/>
                <w:b/>
                <w:color w:val="FF0000"/>
                <w:sz w:val="18"/>
                <w:szCs w:val="18"/>
              </w:rPr>
              <w:t>is</w:t>
            </w:r>
            <w:r w:rsidRPr="00824525">
              <w:rPr>
                <w:rFonts w:ascii="Arial" w:hAnsi="Arial" w:cs="Arial"/>
                <w:b/>
                <w:color w:val="FF0000"/>
                <w:sz w:val="18"/>
                <w:szCs w:val="18"/>
              </w:rPr>
              <w:t xml:space="preserve"> provided for information purposes only.</w:t>
            </w:r>
            <w:r>
              <w:rPr>
                <w:rFonts w:ascii="Arial" w:hAnsi="Arial" w:cs="Arial"/>
                <w:b/>
                <w:color w:val="FF0000"/>
                <w:sz w:val="18"/>
                <w:szCs w:val="18"/>
              </w:rPr>
              <w:t xml:space="preserve"> </w:t>
            </w:r>
            <w:r w:rsidR="009120B1">
              <w:rPr>
                <w:rFonts w:ascii="Arial" w:hAnsi="Arial" w:cs="Arial"/>
                <w:b/>
                <w:color w:val="FF0000"/>
                <w:sz w:val="18"/>
                <w:szCs w:val="18"/>
              </w:rPr>
              <w:t>I</w:t>
            </w:r>
            <w:r w:rsidR="00745991">
              <w:rPr>
                <w:rFonts w:ascii="Arial" w:hAnsi="Arial" w:cs="Arial"/>
                <w:b/>
                <w:color w:val="FF0000"/>
                <w:sz w:val="18"/>
                <w:szCs w:val="18"/>
              </w:rPr>
              <w:t xml:space="preserve">t </w:t>
            </w:r>
            <w:r w:rsidRPr="00824525">
              <w:rPr>
                <w:rFonts w:ascii="Arial" w:hAnsi="Arial" w:cs="Arial"/>
                <w:b/>
                <w:color w:val="FF0000"/>
                <w:sz w:val="18"/>
                <w:szCs w:val="18"/>
              </w:rPr>
              <w:t xml:space="preserve">does not prejudge the final decision of the Commission on whether this initiative will be </w:t>
            </w:r>
            <w:r w:rsidR="00085D8B">
              <w:rPr>
                <w:rFonts w:ascii="Arial" w:hAnsi="Arial" w:cs="Arial"/>
                <w:b/>
                <w:color w:val="FF0000"/>
                <w:sz w:val="18"/>
                <w:szCs w:val="18"/>
              </w:rPr>
              <w:t xml:space="preserve">pursued </w:t>
            </w:r>
            <w:r>
              <w:rPr>
                <w:rFonts w:ascii="Arial" w:hAnsi="Arial" w:cs="Arial"/>
                <w:b/>
                <w:color w:val="FF0000"/>
                <w:sz w:val="18"/>
                <w:szCs w:val="18"/>
              </w:rPr>
              <w:t>or on its final content</w:t>
            </w:r>
            <w:r w:rsidRPr="00824525">
              <w:rPr>
                <w:rFonts w:ascii="Arial" w:hAnsi="Arial" w:cs="Arial"/>
                <w:b/>
                <w:color w:val="FF0000"/>
                <w:sz w:val="18"/>
                <w:szCs w:val="18"/>
              </w:rPr>
              <w:t>.</w:t>
            </w:r>
            <w:r>
              <w:rPr>
                <w:rFonts w:ascii="Arial" w:hAnsi="Arial" w:cs="Arial"/>
                <w:b/>
                <w:color w:val="FF0000"/>
                <w:sz w:val="18"/>
                <w:szCs w:val="18"/>
              </w:rPr>
              <w:t xml:space="preserve"> </w:t>
            </w:r>
            <w:r w:rsidR="00745991">
              <w:rPr>
                <w:rFonts w:ascii="Arial" w:hAnsi="Arial" w:cs="Arial"/>
                <w:b/>
                <w:color w:val="FF0000"/>
                <w:sz w:val="18"/>
                <w:szCs w:val="18"/>
              </w:rPr>
              <w:t xml:space="preserve">All elements of the initiative described by the Inception </w:t>
            </w:r>
            <w:r w:rsidR="009120B1">
              <w:rPr>
                <w:rFonts w:ascii="Arial" w:hAnsi="Arial" w:cs="Arial"/>
                <w:b/>
                <w:color w:val="FF0000"/>
                <w:sz w:val="18"/>
                <w:szCs w:val="18"/>
              </w:rPr>
              <w:t>i</w:t>
            </w:r>
            <w:r w:rsidR="00745991">
              <w:rPr>
                <w:rFonts w:ascii="Arial" w:hAnsi="Arial" w:cs="Arial"/>
                <w:b/>
                <w:color w:val="FF0000"/>
                <w:sz w:val="18"/>
                <w:szCs w:val="18"/>
              </w:rPr>
              <w:t xml:space="preserve">mpact </w:t>
            </w:r>
            <w:r w:rsidR="009120B1">
              <w:rPr>
                <w:rFonts w:ascii="Arial" w:hAnsi="Arial" w:cs="Arial"/>
                <w:b/>
                <w:color w:val="FF0000"/>
                <w:sz w:val="18"/>
                <w:szCs w:val="18"/>
              </w:rPr>
              <w:t>a</w:t>
            </w:r>
            <w:r w:rsidR="00745991">
              <w:rPr>
                <w:rFonts w:ascii="Arial" w:hAnsi="Arial" w:cs="Arial"/>
                <w:b/>
                <w:color w:val="FF0000"/>
                <w:sz w:val="18"/>
                <w:szCs w:val="18"/>
              </w:rPr>
              <w:t>ssessment, including its timing, are subject to change.</w:t>
            </w:r>
          </w:p>
        </w:tc>
      </w:tr>
    </w:tbl>
    <w:p w:rsidR="00BA33B7">
      <w:pPr>
        <w:sectPr w:rsidSect="00E72EF2">
          <w:footerReference w:type="even" r:id="rId10"/>
          <w:footerReference w:type="default" r:id="rId11"/>
          <w:headerReference w:type="first" r:id="rId12"/>
          <w:pgSz w:w="11906" w:h="16838" w:code="9"/>
          <w:pgMar w:top="851" w:right="567" w:bottom="851" w:left="1134" w:header="709" w:footer="709" w:gutter="0"/>
          <w:cols w:space="708"/>
          <w:titlePg/>
          <w:docGrid w:linePitch="360"/>
        </w:sectPr>
      </w:pPr>
    </w:p>
    <w:p w:rsidR="00BA33B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Tr="00203E25">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4" w:type="dxa"/>
            <w:tcBorders>
              <w:bottom w:val="single" w:sz="4" w:space="0" w:color="auto"/>
            </w:tcBorders>
            <w:shd w:val="clear" w:color="auto" w:fill="0000FF"/>
          </w:tcPr>
          <w:p w:rsidR="009E6661" w:rsidRPr="00824525" w:rsidP="00346371">
            <w:pPr>
              <w:spacing w:before="60" w:after="60"/>
              <w:jc w:val="center"/>
              <w:rPr>
                <w:rFonts w:ascii="Arial" w:hAnsi="Arial" w:cs="Arial"/>
                <w:b/>
                <w:sz w:val="22"/>
                <w:szCs w:val="22"/>
              </w:rPr>
            </w:pPr>
            <w:r w:rsidRPr="00824525">
              <w:rPr>
                <w:rFonts w:ascii="Arial" w:hAnsi="Arial" w:cs="Arial"/>
                <w:b/>
                <w:sz w:val="22"/>
                <w:szCs w:val="22"/>
              </w:rPr>
              <w:t>A. Context</w:t>
            </w:r>
            <w:r w:rsidR="001A225A">
              <w:rPr>
                <w:rFonts w:ascii="Arial" w:hAnsi="Arial" w:cs="Arial"/>
                <w:b/>
                <w:sz w:val="22"/>
                <w:szCs w:val="22"/>
              </w:rPr>
              <w:t xml:space="preserve">, Problem </w:t>
            </w:r>
            <w:r w:rsidR="00D867F4">
              <w:rPr>
                <w:rFonts w:ascii="Arial" w:hAnsi="Arial" w:cs="Arial"/>
                <w:b/>
                <w:sz w:val="22"/>
                <w:szCs w:val="22"/>
              </w:rPr>
              <w:t xml:space="preserve">definition </w:t>
            </w:r>
            <w:r w:rsidR="001A225A">
              <w:rPr>
                <w:rFonts w:ascii="Arial" w:hAnsi="Arial" w:cs="Arial"/>
                <w:b/>
                <w:sz w:val="22"/>
                <w:szCs w:val="22"/>
              </w:rPr>
              <w:t xml:space="preserve">and </w:t>
            </w:r>
            <w:r w:rsidR="00346371">
              <w:rPr>
                <w:rFonts w:ascii="Arial" w:hAnsi="Arial" w:cs="Arial"/>
                <w:b/>
                <w:sz w:val="22"/>
                <w:szCs w:val="22"/>
              </w:rPr>
              <w:t>S</w:t>
            </w:r>
            <w:r w:rsidRPr="00824525" w:rsidR="00F84926">
              <w:rPr>
                <w:rFonts w:ascii="Arial" w:hAnsi="Arial" w:cs="Arial"/>
                <w:b/>
                <w:sz w:val="22"/>
                <w:szCs w:val="22"/>
              </w:rPr>
              <w:t xml:space="preserve">ubsidiarity </w:t>
            </w:r>
            <w:r w:rsidR="00346371">
              <w:rPr>
                <w:rFonts w:ascii="Arial" w:hAnsi="Arial" w:cs="Arial"/>
                <w:b/>
                <w:sz w:val="22"/>
                <w:szCs w:val="22"/>
              </w:rPr>
              <w:t>C</w:t>
            </w:r>
            <w:r w:rsidRPr="00824525" w:rsidR="00F84926">
              <w:rPr>
                <w:rFonts w:ascii="Arial" w:hAnsi="Arial" w:cs="Arial"/>
                <w:b/>
                <w:sz w:val="22"/>
                <w:szCs w:val="22"/>
              </w:rPr>
              <w:t>heck</w:t>
            </w:r>
            <w:r w:rsidRPr="00824525" w:rsidR="0033328C">
              <w:rPr>
                <w:rFonts w:ascii="Arial" w:hAnsi="Arial" w:cs="Arial"/>
                <w:b/>
                <w:sz w:val="22"/>
                <w:szCs w:val="22"/>
              </w:rPr>
              <w:t xml:space="preserve">  </w:t>
            </w:r>
          </w:p>
        </w:tc>
      </w:tr>
      <w:tr w:rsidTr="00203E25">
        <w:tblPrEx>
          <w:tblW w:w="10314" w:type="dxa"/>
          <w:tblLook w:val="01E0"/>
        </w:tblPrEx>
        <w:tc>
          <w:tcPr>
            <w:tcW w:w="10314" w:type="dxa"/>
            <w:tcBorders>
              <w:bottom w:val="single" w:sz="4" w:space="0" w:color="auto"/>
            </w:tcBorders>
            <w:shd w:val="clear" w:color="auto" w:fill="E6E6E6"/>
          </w:tcPr>
          <w:p w:rsidR="009E6661" w:rsidRPr="00063592" w:rsidP="00AF4469">
            <w:pPr>
              <w:spacing w:before="60" w:after="60"/>
              <w:jc w:val="both"/>
              <w:rPr>
                <w:rFonts w:ascii="Arial" w:hAnsi="Arial" w:cs="Arial"/>
                <w:b/>
                <w:sz w:val="20"/>
                <w:szCs w:val="20"/>
              </w:rPr>
            </w:pPr>
            <w:r>
              <w:rPr>
                <w:rFonts w:ascii="Arial" w:hAnsi="Arial" w:cs="Arial"/>
                <w:b/>
                <w:sz w:val="20"/>
                <w:szCs w:val="20"/>
              </w:rPr>
              <w:t>C</w:t>
            </w:r>
            <w:r w:rsidRPr="00824525">
              <w:rPr>
                <w:rFonts w:ascii="Arial" w:hAnsi="Arial" w:cs="Arial"/>
                <w:b/>
                <w:sz w:val="20"/>
                <w:szCs w:val="20"/>
              </w:rPr>
              <w:t>ontext</w:t>
            </w:r>
            <w:r w:rsidR="002602F8">
              <w:rPr>
                <w:rFonts w:ascii="Arial" w:hAnsi="Arial" w:cs="Arial"/>
                <w:b/>
                <w:sz w:val="20"/>
                <w:szCs w:val="20"/>
              </w:rPr>
              <w:t xml:space="preserve"> </w:t>
            </w:r>
            <w:r w:rsidR="000E57ED">
              <w:rPr>
                <w:rFonts w:ascii="Arial" w:hAnsi="Arial" w:cs="Arial"/>
                <w:b/>
                <w:sz w:val="20"/>
                <w:szCs w:val="20"/>
              </w:rPr>
              <w:t xml:space="preserve"> </w:t>
            </w:r>
          </w:p>
        </w:tc>
      </w:tr>
      <w:tr w:rsidTr="00203E25">
        <w:tblPrEx>
          <w:tblW w:w="10314" w:type="dxa"/>
          <w:tblLook w:val="01E0"/>
        </w:tblPrEx>
        <w:tc>
          <w:tcPr>
            <w:tcW w:w="10314" w:type="dxa"/>
            <w:tcBorders>
              <w:bottom w:val="single" w:sz="4" w:space="0" w:color="auto"/>
            </w:tcBorders>
            <w:shd w:val="clear" w:color="auto" w:fill="auto"/>
          </w:tcPr>
          <w:p w:rsidR="00B06E08" w:rsidP="007A54DF">
            <w:pPr>
              <w:spacing w:before="60" w:after="60"/>
              <w:jc w:val="both"/>
              <w:rPr>
                <w:rFonts w:ascii="Arial" w:hAnsi="Arial" w:cs="Arial"/>
                <w:color w:val="000080"/>
                <w:sz w:val="20"/>
                <w:szCs w:val="20"/>
              </w:rPr>
            </w:pPr>
            <w:r>
              <w:rPr>
                <w:rFonts w:ascii="Arial" w:hAnsi="Arial" w:cs="Arial"/>
                <w:color w:val="000080"/>
                <w:sz w:val="20"/>
                <w:szCs w:val="20"/>
              </w:rPr>
              <w:t xml:space="preserve">The Communication on a </w:t>
            </w:r>
            <w:r w:rsidRPr="005C56E1">
              <w:rPr>
                <w:rFonts w:ascii="Arial" w:hAnsi="Arial" w:cs="Arial"/>
                <w:color w:val="000080"/>
                <w:sz w:val="20"/>
                <w:szCs w:val="20"/>
                <w:u w:val="single"/>
              </w:rPr>
              <w:t>European Green Deal</w:t>
            </w:r>
            <w:r>
              <w:rPr>
                <w:rFonts w:ascii="Arial" w:hAnsi="Arial" w:cs="Arial"/>
                <w:color w:val="000080"/>
                <w:sz w:val="20"/>
                <w:szCs w:val="20"/>
              </w:rPr>
              <w:t xml:space="preserve"> envisages the proposal of a number of legislative waste reforms, which include amending the annexes of </w:t>
            </w:r>
            <w:r>
              <w:fldChar w:fldCharType="begin"/>
            </w:r>
            <w:r>
              <w:instrText xml:space="preserve"> HYPERLINK "https://eur-lex.europa.eu/legal-content/en/TXT/?uri=CELEX:32019R1021" </w:instrText>
            </w:r>
            <w:r>
              <w:fldChar w:fldCharType="separate"/>
            </w:r>
            <w:r w:rsidRPr="00E857AE">
              <w:rPr>
                <w:rStyle w:val="Hyperlink"/>
                <w:rFonts w:ascii="Arial" w:hAnsi="Arial" w:cs="Arial"/>
                <w:sz w:val="20"/>
                <w:szCs w:val="20"/>
              </w:rPr>
              <w:t xml:space="preserve">Regulation </w:t>
            </w:r>
            <w:r w:rsidRPr="00E857AE" w:rsidR="00E857AE">
              <w:rPr>
                <w:rStyle w:val="Hyperlink"/>
                <w:rFonts w:ascii="Arial" w:hAnsi="Arial" w:cs="Arial"/>
                <w:sz w:val="20"/>
                <w:szCs w:val="20"/>
              </w:rPr>
              <w:t>(EU) 2019/1021</w:t>
            </w:r>
            <w:r>
              <w:fldChar w:fldCharType="end"/>
            </w:r>
            <w:r w:rsidR="00E857AE">
              <w:rPr>
                <w:rFonts w:ascii="Arial" w:hAnsi="Arial" w:cs="Arial"/>
                <w:color w:val="000080"/>
                <w:sz w:val="20"/>
                <w:szCs w:val="20"/>
              </w:rPr>
              <w:t xml:space="preserve"> </w:t>
            </w:r>
            <w:r>
              <w:rPr>
                <w:rFonts w:ascii="Arial" w:hAnsi="Arial" w:cs="Arial"/>
                <w:color w:val="000080"/>
                <w:sz w:val="20"/>
                <w:szCs w:val="20"/>
              </w:rPr>
              <w:t xml:space="preserve">on Persistent Organic Pollutants </w:t>
            </w:r>
            <w:r w:rsidRPr="00B06E08">
              <w:rPr>
                <w:rFonts w:ascii="Arial" w:hAnsi="Arial" w:cs="Arial"/>
                <w:color w:val="000080"/>
                <w:sz w:val="20"/>
                <w:szCs w:val="20"/>
              </w:rPr>
              <w:t>(POPs)</w:t>
            </w:r>
            <w:r>
              <w:rPr>
                <w:rFonts w:ascii="Arial" w:hAnsi="Arial" w:cs="Arial"/>
                <w:color w:val="000080"/>
                <w:sz w:val="20"/>
                <w:szCs w:val="20"/>
              </w:rPr>
              <w:t xml:space="preserve">, as further specified in the Communication on a </w:t>
            </w:r>
            <w:r>
              <w:fldChar w:fldCharType="begin"/>
            </w:r>
            <w:r>
              <w:instrText xml:space="preserve"> HYPERLINK "https://eur-lex.europa.eu/legal-content/EN/TXT/?qid=1583933814386&amp;uri=COM:2020:98:FIN" </w:instrText>
            </w:r>
            <w:r>
              <w:fldChar w:fldCharType="separate"/>
            </w:r>
            <w:r w:rsidRPr="00306098">
              <w:rPr>
                <w:rStyle w:val="Hyperlink"/>
                <w:rFonts w:ascii="Arial" w:hAnsi="Arial" w:cs="Arial"/>
                <w:sz w:val="20"/>
                <w:szCs w:val="20"/>
              </w:rPr>
              <w:t>new Circular Economy Action Plan</w:t>
            </w:r>
            <w:r>
              <w:fldChar w:fldCharType="end"/>
            </w:r>
            <w:r>
              <w:rPr>
                <w:rFonts w:ascii="Arial" w:hAnsi="Arial" w:cs="Arial"/>
                <w:color w:val="000080"/>
                <w:sz w:val="20"/>
                <w:szCs w:val="20"/>
              </w:rPr>
              <w:t xml:space="preserve">. </w:t>
            </w:r>
            <w:r>
              <w:rPr>
                <w:rFonts w:ascii="Arial" w:hAnsi="Arial" w:cs="Arial"/>
                <w:color w:val="000080"/>
                <w:sz w:val="20"/>
                <w:szCs w:val="20"/>
              </w:rPr>
              <w:t>T</w:t>
            </w:r>
            <w:r w:rsidRPr="00B06E08">
              <w:rPr>
                <w:rFonts w:ascii="Arial" w:hAnsi="Arial" w:cs="Arial"/>
                <w:color w:val="000080"/>
                <w:sz w:val="20"/>
                <w:szCs w:val="20"/>
              </w:rPr>
              <w:t xml:space="preserve">he recently recast Regulation on Persistent Organic Pollutants </w:t>
            </w:r>
            <w:r>
              <w:rPr>
                <w:rFonts w:ascii="Arial" w:hAnsi="Arial" w:cs="Arial"/>
                <w:color w:val="000080"/>
                <w:sz w:val="20"/>
                <w:szCs w:val="20"/>
              </w:rPr>
              <w:t xml:space="preserve">requires </w:t>
            </w:r>
            <w:r w:rsidRPr="00B06E08">
              <w:rPr>
                <w:rFonts w:ascii="Arial" w:hAnsi="Arial" w:cs="Arial"/>
                <w:color w:val="000080"/>
                <w:sz w:val="20"/>
                <w:szCs w:val="20"/>
              </w:rPr>
              <w:t>the Commission to review its annexes IV and V</w:t>
            </w:r>
            <w:r w:rsidR="00232B77">
              <w:rPr>
                <w:rFonts w:ascii="Arial" w:hAnsi="Arial" w:cs="Arial"/>
                <w:color w:val="000080"/>
                <w:sz w:val="20"/>
                <w:szCs w:val="20"/>
              </w:rPr>
              <w:t>,</w:t>
            </w:r>
            <w:r>
              <w:rPr>
                <w:rFonts w:ascii="Arial" w:hAnsi="Arial" w:cs="Arial"/>
                <w:color w:val="000080"/>
                <w:sz w:val="20"/>
                <w:szCs w:val="20"/>
              </w:rPr>
              <w:t xml:space="preserve"> in which concentration limits are set for certain POP substances in waste</w:t>
            </w:r>
            <w:r w:rsidR="003179EE">
              <w:rPr>
                <w:rFonts w:ascii="Arial" w:hAnsi="Arial" w:cs="Arial"/>
                <w:color w:val="000080"/>
                <w:sz w:val="20"/>
                <w:szCs w:val="20"/>
              </w:rPr>
              <w:t xml:space="preserve">. This is </w:t>
            </w:r>
            <w:r w:rsidRPr="00B06E08">
              <w:rPr>
                <w:rFonts w:ascii="Arial" w:hAnsi="Arial" w:cs="Arial"/>
                <w:color w:val="000080"/>
                <w:sz w:val="20"/>
                <w:szCs w:val="20"/>
              </w:rPr>
              <w:t xml:space="preserve">to </w:t>
            </w:r>
            <w:r w:rsidR="00243112">
              <w:rPr>
                <w:rFonts w:ascii="Arial" w:hAnsi="Arial" w:cs="Arial"/>
                <w:color w:val="000080"/>
                <w:sz w:val="20"/>
                <w:szCs w:val="20"/>
              </w:rPr>
              <w:t xml:space="preserve">introduce </w:t>
            </w:r>
            <w:r w:rsidR="003179EE">
              <w:rPr>
                <w:rFonts w:ascii="Arial" w:hAnsi="Arial" w:cs="Arial"/>
                <w:color w:val="000080"/>
                <w:sz w:val="20"/>
                <w:szCs w:val="20"/>
              </w:rPr>
              <w:t xml:space="preserve">limit </w:t>
            </w:r>
            <w:r w:rsidR="00243112">
              <w:rPr>
                <w:rFonts w:ascii="Arial" w:hAnsi="Arial" w:cs="Arial"/>
                <w:color w:val="000080"/>
                <w:sz w:val="20"/>
                <w:szCs w:val="20"/>
              </w:rPr>
              <w:t>values for</w:t>
            </w:r>
            <w:r w:rsidRPr="00B06E08">
              <w:rPr>
                <w:rFonts w:ascii="Arial" w:hAnsi="Arial" w:cs="Arial"/>
                <w:color w:val="000080"/>
                <w:sz w:val="20"/>
                <w:szCs w:val="20"/>
              </w:rPr>
              <w:t xml:space="preserve"> </w:t>
            </w:r>
            <w:r>
              <w:rPr>
                <w:rFonts w:ascii="Arial" w:hAnsi="Arial" w:cs="Arial"/>
                <w:color w:val="000080"/>
                <w:sz w:val="20"/>
                <w:szCs w:val="20"/>
              </w:rPr>
              <w:t xml:space="preserve">new substances whose listing has been agreed internationally under </w:t>
            </w:r>
            <w:r w:rsidRPr="00B06E08">
              <w:rPr>
                <w:rFonts w:ascii="Arial" w:hAnsi="Arial" w:cs="Arial"/>
                <w:color w:val="000080"/>
                <w:sz w:val="20"/>
                <w:szCs w:val="20"/>
              </w:rPr>
              <w:t xml:space="preserve">the </w:t>
            </w:r>
            <w:r>
              <w:fldChar w:fldCharType="begin"/>
            </w:r>
            <w:r>
              <w:instrText xml:space="preserve"> HYPERLINK "http://www.pops.int/TheConvention/Overview/TextoftheConvention/tabid/2232/Default.aspx" </w:instrText>
            </w:r>
            <w:r>
              <w:fldChar w:fldCharType="separate"/>
            </w:r>
            <w:r w:rsidRPr="00E857AE">
              <w:rPr>
                <w:rStyle w:val="Hyperlink"/>
                <w:rFonts w:ascii="Arial" w:hAnsi="Arial" w:cs="Arial"/>
                <w:sz w:val="20"/>
                <w:szCs w:val="20"/>
              </w:rPr>
              <w:t>Stockholm Convention</w:t>
            </w:r>
            <w:r>
              <w:fldChar w:fldCharType="end"/>
            </w:r>
            <w:r w:rsidRPr="00B06E08">
              <w:rPr>
                <w:rFonts w:ascii="Arial" w:hAnsi="Arial" w:cs="Arial"/>
                <w:color w:val="000080"/>
                <w:sz w:val="20"/>
                <w:szCs w:val="20"/>
              </w:rPr>
              <w:t xml:space="preserve">, and to adapt </w:t>
            </w:r>
            <w:r w:rsidR="00243112">
              <w:rPr>
                <w:rFonts w:ascii="Arial" w:hAnsi="Arial" w:cs="Arial"/>
                <w:color w:val="000080"/>
                <w:sz w:val="20"/>
                <w:szCs w:val="20"/>
              </w:rPr>
              <w:t xml:space="preserve">some </w:t>
            </w:r>
            <w:r w:rsidRPr="00B06E08">
              <w:rPr>
                <w:rFonts w:ascii="Arial" w:hAnsi="Arial" w:cs="Arial"/>
                <w:color w:val="000080"/>
                <w:sz w:val="20"/>
                <w:szCs w:val="20"/>
              </w:rPr>
              <w:t xml:space="preserve">existing </w:t>
            </w:r>
            <w:r w:rsidR="00243112">
              <w:rPr>
                <w:rFonts w:ascii="Arial" w:hAnsi="Arial" w:cs="Arial"/>
                <w:color w:val="000080"/>
                <w:sz w:val="20"/>
                <w:szCs w:val="20"/>
              </w:rPr>
              <w:t>values</w:t>
            </w:r>
            <w:r w:rsidRPr="00B06E08">
              <w:rPr>
                <w:rFonts w:ascii="Arial" w:hAnsi="Arial" w:cs="Arial"/>
                <w:color w:val="000080"/>
                <w:sz w:val="20"/>
                <w:szCs w:val="20"/>
              </w:rPr>
              <w:t xml:space="preserve"> to scientific and technical progress. </w:t>
            </w:r>
            <w:r>
              <w:rPr>
                <w:rFonts w:ascii="Arial" w:hAnsi="Arial" w:cs="Arial"/>
                <w:color w:val="000080"/>
                <w:sz w:val="20"/>
                <w:szCs w:val="20"/>
              </w:rPr>
              <w:t xml:space="preserve">These limits largely determine the treatment of the waste and, in particular </w:t>
            </w:r>
            <w:r w:rsidR="00243112">
              <w:rPr>
                <w:rFonts w:ascii="Arial" w:hAnsi="Arial" w:cs="Arial"/>
                <w:color w:val="000080"/>
                <w:sz w:val="20"/>
                <w:szCs w:val="20"/>
              </w:rPr>
              <w:t xml:space="preserve">for </w:t>
            </w:r>
            <w:r>
              <w:rPr>
                <w:rFonts w:ascii="Arial" w:hAnsi="Arial" w:cs="Arial"/>
                <w:color w:val="000080"/>
                <w:sz w:val="20"/>
                <w:szCs w:val="20"/>
              </w:rPr>
              <w:t xml:space="preserve">limits in Annex IV, define whether a waste containing specific POP substances </w:t>
            </w:r>
            <w:r w:rsidRPr="00D046D3" w:rsidR="00D046D3">
              <w:rPr>
                <w:rFonts w:ascii="Arial" w:hAnsi="Arial" w:cs="Arial"/>
                <w:color w:val="000080"/>
                <w:sz w:val="20"/>
                <w:szCs w:val="20"/>
              </w:rPr>
              <w:t>should be disposed of in such a way that the POP content is destroyed or irreversibly transformed or whether it</w:t>
            </w:r>
            <w:r w:rsidR="00D046D3">
              <w:t xml:space="preserve"> </w:t>
            </w:r>
            <w:r>
              <w:rPr>
                <w:rFonts w:ascii="Arial" w:hAnsi="Arial" w:cs="Arial"/>
                <w:color w:val="000080"/>
                <w:sz w:val="20"/>
                <w:szCs w:val="20"/>
              </w:rPr>
              <w:t>can be subjected to other recovery or disposal operations,</w:t>
            </w:r>
            <w:r w:rsidR="00D046D3">
              <w:rPr>
                <w:rFonts w:ascii="Arial" w:hAnsi="Arial" w:cs="Arial"/>
                <w:color w:val="000080"/>
                <w:sz w:val="20"/>
                <w:szCs w:val="20"/>
              </w:rPr>
              <w:t xml:space="preserve"> including recycling</w:t>
            </w:r>
            <w:r>
              <w:rPr>
                <w:rFonts w:ascii="Arial" w:hAnsi="Arial" w:cs="Arial"/>
                <w:color w:val="000080"/>
                <w:sz w:val="20"/>
                <w:szCs w:val="20"/>
              </w:rPr>
              <w:t xml:space="preserve">. </w:t>
            </w:r>
          </w:p>
          <w:p w:rsidR="00675068" w:rsidP="007A54DF">
            <w:pPr>
              <w:spacing w:before="60" w:after="60"/>
              <w:jc w:val="both"/>
              <w:rPr>
                <w:rFonts w:ascii="Arial" w:hAnsi="Arial" w:cs="Arial"/>
                <w:color w:val="000080"/>
                <w:sz w:val="20"/>
                <w:szCs w:val="20"/>
              </w:rPr>
            </w:pPr>
            <w:r>
              <w:rPr>
                <w:rFonts w:ascii="Arial" w:hAnsi="Arial" w:cs="Arial"/>
                <w:color w:val="000080"/>
                <w:sz w:val="20"/>
                <w:szCs w:val="20"/>
              </w:rPr>
              <w:t xml:space="preserve">The task of setting these </w:t>
            </w:r>
            <w:r w:rsidR="0017139B">
              <w:rPr>
                <w:rFonts w:ascii="Arial" w:hAnsi="Arial" w:cs="Arial"/>
                <w:color w:val="000080"/>
                <w:sz w:val="20"/>
                <w:szCs w:val="20"/>
              </w:rPr>
              <w:t xml:space="preserve">values </w:t>
            </w:r>
            <w:r w:rsidR="00F003AD">
              <w:rPr>
                <w:rFonts w:ascii="Arial" w:hAnsi="Arial" w:cs="Arial"/>
                <w:color w:val="000080"/>
                <w:sz w:val="20"/>
                <w:szCs w:val="20"/>
              </w:rPr>
              <w:t xml:space="preserve">relates </w:t>
            </w:r>
            <w:r>
              <w:rPr>
                <w:rFonts w:ascii="Arial" w:hAnsi="Arial" w:cs="Arial"/>
                <w:color w:val="000080"/>
                <w:sz w:val="20"/>
                <w:szCs w:val="20"/>
              </w:rPr>
              <w:t xml:space="preserve">directly </w:t>
            </w:r>
            <w:r w:rsidR="00F003AD">
              <w:rPr>
                <w:rFonts w:ascii="Arial" w:hAnsi="Arial" w:cs="Arial"/>
                <w:color w:val="000080"/>
                <w:sz w:val="20"/>
                <w:szCs w:val="20"/>
              </w:rPr>
              <w:t>to</w:t>
            </w:r>
            <w:r>
              <w:rPr>
                <w:rFonts w:ascii="Arial" w:hAnsi="Arial" w:cs="Arial"/>
                <w:color w:val="000080"/>
                <w:sz w:val="20"/>
                <w:szCs w:val="20"/>
              </w:rPr>
              <w:t xml:space="preserve"> one of the issues discussed in the </w:t>
            </w:r>
            <w:r>
              <w:fldChar w:fldCharType="begin"/>
            </w:r>
            <w:r>
              <w:instrText xml:space="preserve"> HYPERLINK "https://eur-lex.europa.eu/legal-content/EN/TXT/?qid=1516265440535&amp;uri=COM:2018:32:FIN" </w:instrText>
            </w:r>
            <w:r>
              <w:fldChar w:fldCharType="separate"/>
            </w:r>
            <w:r w:rsidRPr="00E857AE">
              <w:rPr>
                <w:rStyle w:val="Hyperlink"/>
                <w:rFonts w:ascii="Arial" w:hAnsi="Arial" w:cs="Arial"/>
                <w:sz w:val="20"/>
                <w:szCs w:val="20"/>
              </w:rPr>
              <w:t>Communication</w:t>
            </w:r>
            <w:r>
              <w:fldChar w:fldCharType="end"/>
            </w:r>
            <w:r>
              <w:rPr>
                <w:rFonts w:ascii="Arial" w:hAnsi="Arial" w:cs="Arial"/>
                <w:color w:val="000080"/>
                <w:sz w:val="20"/>
                <w:szCs w:val="20"/>
              </w:rPr>
              <w:t xml:space="preserve"> on options to address the interface between chemical, product and waste legislation</w:t>
            </w:r>
            <w:r w:rsidR="00E857AE">
              <w:rPr>
                <w:rFonts w:ascii="Arial" w:hAnsi="Arial" w:cs="Arial"/>
                <w:color w:val="000080"/>
                <w:sz w:val="20"/>
                <w:szCs w:val="20"/>
              </w:rPr>
              <w:t xml:space="preserve"> and in its </w:t>
            </w:r>
            <w:r>
              <w:fldChar w:fldCharType="begin"/>
            </w:r>
            <w:r>
              <w:instrText xml:space="preserve"> HYPERLINK "https://eur-lex.europa.eu/legal-content/EN/TXT/?qid=1516265440535&amp;uri=SWD:2018:20:FIN" </w:instrText>
            </w:r>
            <w:r>
              <w:fldChar w:fldCharType="separate"/>
            </w:r>
            <w:r w:rsidRPr="00E857AE" w:rsidR="00E857AE">
              <w:rPr>
                <w:rStyle w:val="Hyperlink"/>
                <w:rFonts w:ascii="Arial" w:hAnsi="Arial" w:cs="Arial"/>
                <w:sz w:val="20"/>
                <w:szCs w:val="20"/>
              </w:rPr>
              <w:t>staff working document</w:t>
            </w:r>
            <w:r>
              <w:fldChar w:fldCharType="end"/>
            </w:r>
            <w:r w:rsidR="00232B77">
              <w:rPr>
                <w:rFonts w:ascii="Arial" w:hAnsi="Arial" w:cs="Arial"/>
                <w:color w:val="000080"/>
                <w:sz w:val="20"/>
                <w:szCs w:val="20"/>
              </w:rPr>
              <w:t xml:space="preserve">. </w:t>
            </w:r>
            <w:r w:rsidR="007C5E83">
              <w:rPr>
                <w:rFonts w:ascii="Arial" w:hAnsi="Arial" w:cs="Arial"/>
                <w:color w:val="000080"/>
                <w:sz w:val="20"/>
                <w:szCs w:val="20"/>
              </w:rPr>
              <w:t xml:space="preserve">Namely </w:t>
            </w:r>
            <w:r w:rsidR="00232B77">
              <w:rPr>
                <w:rFonts w:ascii="Arial" w:hAnsi="Arial" w:cs="Arial"/>
                <w:color w:val="000080"/>
                <w:sz w:val="20"/>
                <w:szCs w:val="20"/>
              </w:rPr>
              <w:t xml:space="preserve"> to find the optimum balance between the objectives, defined in the </w:t>
            </w:r>
            <w:r w:rsidR="007540F1">
              <w:rPr>
                <w:rFonts w:ascii="Arial" w:hAnsi="Arial" w:cs="Arial"/>
                <w:color w:val="000080"/>
                <w:sz w:val="20"/>
                <w:szCs w:val="20"/>
              </w:rPr>
              <w:t xml:space="preserve">first </w:t>
            </w:r>
            <w:r w:rsidR="00232B77">
              <w:rPr>
                <w:rFonts w:ascii="Arial" w:hAnsi="Arial" w:cs="Arial"/>
                <w:color w:val="000080"/>
                <w:sz w:val="20"/>
                <w:szCs w:val="20"/>
              </w:rPr>
              <w:t xml:space="preserve">Circular Economy Action Plan, of </w:t>
            </w:r>
            <w:r w:rsidRPr="00232B77" w:rsidR="00232B77">
              <w:rPr>
                <w:rFonts w:ascii="Arial" w:hAnsi="Arial" w:cs="Arial"/>
                <w:color w:val="000080"/>
                <w:sz w:val="20"/>
                <w:szCs w:val="20"/>
              </w:rPr>
              <w:t xml:space="preserve">enabling recycling and </w:t>
            </w:r>
            <w:r w:rsidR="007A54DF">
              <w:rPr>
                <w:rFonts w:ascii="Arial" w:hAnsi="Arial" w:cs="Arial"/>
                <w:color w:val="000080"/>
                <w:sz w:val="20"/>
                <w:szCs w:val="20"/>
              </w:rPr>
              <w:t>promoting</w:t>
            </w:r>
            <w:r w:rsidRPr="00232B77" w:rsidR="00232B77">
              <w:rPr>
                <w:rFonts w:ascii="Arial" w:hAnsi="Arial" w:cs="Arial"/>
                <w:color w:val="000080"/>
                <w:sz w:val="20"/>
                <w:szCs w:val="20"/>
              </w:rPr>
              <w:t xml:space="preserve"> the uptake of secondary raw materials</w:t>
            </w:r>
            <w:r w:rsidR="00232B77">
              <w:rPr>
                <w:rFonts w:ascii="Arial" w:hAnsi="Arial" w:cs="Arial"/>
                <w:color w:val="000080"/>
                <w:sz w:val="20"/>
                <w:szCs w:val="20"/>
              </w:rPr>
              <w:t xml:space="preserve"> while at the same time </w:t>
            </w:r>
            <w:r w:rsidRPr="00232B77" w:rsidR="00232B77">
              <w:rPr>
                <w:rFonts w:ascii="Arial" w:hAnsi="Arial" w:cs="Arial"/>
                <w:color w:val="000080"/>
                <w:sz w:val="20"/>
                <w:szCs w:val="20"/>
              </w:rPr>
              <w:t>substituting substances of concern and, where not possible, reducing their</w:t>
            </w:r>
            <w:r w:rsidR="00232B77">
              <w:rPr>
                <w:rFonts w:ascii="Arial" w:hAnsi="Arial" w:cs="Arial"/>
                <w:color w:val="000080"/>
                <w:sz w:val="20"/>
                <w:szCs w:val="20"/>
              </w:rPr>
              <w:t xml:space="preserve"> </w:t>
            </w:r>
            <w:r w:rsidRPr="00232B77" w:rsidR="00232B77">
              <w:rPr>
                <w:rFonts w:ascii="Arial" w:hAnsi="Arial" w:cs="Arial"/>
                <w:color w:val="000080"/>
                <w:sz w:val="20"/>
                <w:szCs w:val="20"/>
              </w:rPr>
              <w:t>presence and improving their tracking</w:t>
            </w:r>
            <w:r w:rsidR="00232B77">
              <w:rPr>
                <w:rFonts w:ascii="Arial" w:hAnsi="Arial" w:cs="Arial"/>
                <w:color w:val="000080"/>
                <w:sz w:val="20"/>
                <w:szCs w:val="20"/>
              </w:rPr>
              <w:t xml:space="preserve">. </w:t>
            </w:r>
            <w:r w:rsidR="007540F1">
              <w:rPr>
                <w:rFonts w:ascii="Arial" w:hAnsi="Arial" w:cs="Arial"/>
                <w:color w:val="000080"/>
                <w:sz w:val="20"/>
                <w:szCs w:val="20"/>
              </w:rPr>
              <w:t xml:space="preserve">These aspects are further stressed in the new Circular Economy Action Plan, which seeks to enhance circularity in a toxic-free environment and, among other tasks, commits the Commission to develop methodologies to minimise the presence of substances that pose problems to health or the environment, in recycled materials or articles made thereof. </w:t>
            </w:r>
            <w:r w:rsidR="00243112">
              <w:rPr>
                <w:rFonts w:ascii="Arial" w:hAnsi="Arial" w:cs="Arial"/>
                <w:color w:val="000080"/>
                <w:sz w:val="20"/>
                <w:szCs w:val="20"/>
              </w:rPr>
              <w:t xml:space="preserve">This is particularly relevant in the case of POP substances which may be reintroduced into the economy as legacy substances in recovered material. </w:t>
            </w:r>
          </w:p>
          <w:p w:rsidR="00BF2D27" w:rsidRPr="00B06E08" w:rsidP="00B77746">
            <w:pPr>
              <w:spacing w:before="60" w:after="60"/>
              <w:jc w:val="both"/>
              <w:rPr>
                <w:rFonts w:ascii="Arial" w:hAnsi="Arial" w:cs="Arial"/>
                <w:color w:val="000080"/>
                <w:sz w:val="20"/>
                <w:szCs w:val="20"/>
              </w:rPr>
            </w:pPr>
            <w:r w:rsidRPr="00B06E08">
              <w:rPr>
                <w:rFonts w:ascii="Arial" w:hAnsi="Arial" w:cs="Arial"/>
                <w:color w:val="000080"/>
                <w:sz w:val="20"/>
                <w:szCs w:val="20"/>
              </w:rPr>
              <w:t xml:space="preserve">While under the </w:t>
            </w:r>
            <w:r>
              <w:fldChar w:fldCharType="begin"/>
            </w:r>
            <w:r>
              <w:instrText xml:space="preserve"> HYPERLINK "https://eur-lex.europa.eu/legal-content/en/ALL/?uri=CELEX:32004R0850" </w:instrText>
            </w:r>
            <w:r>
              <w:fldChar w:fldCharType="separate"/>
            </w:r>
            <w:r w:rsidRPr="00E857AE">
              <w:rPr>
                <w:rStyle w:val="Hyperlink"/>
                <w:rFonts w:ascii="Arial" w:hAnsi="Arial" w:cs="Arial"/>
                <w:sz w:val="20"/>
                <w:szCs w:val="20"/>
              </w:rPr>
              <w:t>previous POPs Regulation</w:t>
            </w:r>
            <w:r>
              <w:fldChar w:fldCharType="end"/>
            </w:r>
            <w:r w:rsidRPr="00B06E08">
              <w:rPr>
                <w:rFonts w:ascii="Arial" w:hAnsi="Arial" w:cs="Arial"/>
                <w:color w:val="000080"/>
                <w:sz w:val="20"/>
                <w:szCs w:val="20"/>
              </w:rPr>
              <w:t xml:space="preserve"> such adaptations were introduced </w:t>
            </w:r>
            <w:r w:rsidR="00BF7129">
              <w:rPr>
                <w:rFonts w:ascii="Arial" w:hAnsi="Arial" w:cs="Arial"/>
                <w:color w:val="000080"/>
                <w:sz w:val="20"/>
                <w:szCs w:val="20"/>
              </w:rPr>
              <w:t>through</w:t>
            </w:r>
            <w:r w:rsidRPr="00B06E08">
              <w:rPr>
                <w:rFonts w:ascii="Arial" w:hAnsi="Arial" w:cs="Arial"/>
                <w:color w:val="000080"/>
                <w:sz w:val="20"/>
                <w:szCs w:val="20"/>
              </w:rPr>
              <w:t xml:space="preserve"> Commission delegated acts, the recast Regulation </w:t>
            </w:r>
            <w:r w:rsidR="00BF7129">
              <w:rPr>
                <w:rFonts w:ascii="Arial" w:hAnsi="Arial" w:cs="Arial"/>
                <w:color w:val="000080"/>
                <w:sz w:val="20"/>
                <w:szCs w:val="20"/>
              </w:rPr>
              <w:t xml:space="preserve">does so </w:t>
            </w:r>
            <w:r w:rsidR="003179EE">
              <w:rPr>
                <w:rFonts w:ascii="Arial" w:hAnsi="Arial" w:cs="Arial"/>
                <w:color w:val="000080"/>
                <w:sz w:val="20"/>
                <w:szCs w:val="20"/>
              </w:rPr>
              <w:t xml:space="preserve">via </w:t>
            </w:r>
            <w:r w:rsidRPr="00B06E08">
              <w:rPr>
                <w:rFonts w:ascii="Arial" w:hAnsi="Arial" w:cs="Arial"/>
                <w:color w:val="000080"/>
                <w:sz w:val="20"/>
                <w:szCs w:val="20"/>
              </w:rPr>
              <w:t>the ordinary legislative procedure.</w:t>
            </w:r>
            <w:r w:rsidR="00243112">
              <w:rPr>
                <w:rFonts w:ascii="Arial" w:hAnsi="Arial" w:cs="Arial"/>
                <w:color w:val="000080"/>
                <w:sz w:val="20"/>
                <w:szCs w:val="20"/>
              </w:rPr>
              <w:t xml:space="preserve"> </w:t>
            </w:r>
            <w:r w:rsidR="00BF7129">
              <w:rPr>
                <w:rFonts w:ascii="Arial" w:hAnsi="Arial" w:cs="Arial"/>
                <w:color w:val="000080"/>
                <w:sz w:val="20"/>
                <w:szCs w:val="20"/>
              </w:rPr>
              <w:t>A</w:t>
            </w:r>
            <w:r w:rsidR="00243112">
              <w:rPr>
                <w:rFonts w:ascii="Arial" w:hAnsi="Arial" w:cs="Arial"/>
                <w:color w:val="000080"/>
                <w:sz w:val="20"/>
                <w:szCs w:val="20"/>
              </w:rPr>
              <w:t xml:space="preserve"> Commission proposal </w:t>
            </w:r>
            <w:r w:rsidR="00BF7129">
              <w:rPr>
                <w:rFonts w:ascii="Arial" w:hAnsi="Arial" w:cs="Arial"/>
                <w:color w:val="000080"/>
                <w:sz w:val="20"/>
                <w:szCs w:val="20"/>
              </w:rPr>
              <w:t xml:space="preserve">needs to be adopted swiftly </w:t>
            </w:r>
            <w:r w:rsidR="00243112">
              <w:rPr>
                <w:rFonts w:ascii="Arial" w:hAnsi="Arial" w:cs="Arial"/>
                <w:color w:val="000080"/>
                <w:sz w:val="20"/>
                <w:szCs w:val="20"/>
              </w:rPr>
              <w:t>in view of the deadlines to review values for certain substances</w:t>
            </w:r>
            <w:r>
              <w:rPr>
                <w:rStyle w:val="FootnoteReference"/>
                <w:rFonts w:ascii="Arial" w:hAnsi="Arial" w:cs="Arial"/>
                <w:color w:val="000080"/>
                <w:sz w:val="20"/>
                <w:szCs w:val="20"/>
              </w:rPr>
              <w:footnoteReference w:id="2"/>
            </w:r>
            <w:r w:rsidR="00243112">
              <w:rPr>
                <w:rFonts w:ascii="Arial" w:hAnsi="Arial" w:cs="Arial"/>
                <w:color w:val="000080"/>
                <w:sz w:val="20"/>
                <w:szCs w:val="20"/>
              </w:rPr>
              <w:t xml:space="preserve"> </w:t>
            </w:r>
            <w:r w:rsidR="007A54DF">
              <w:rPr>
                <w:rFonts w:ascii="Arial" w:hAnsi="Arial" w:cs="Arial"/>
                <w:color w:val="000080"/>
                <w:sz w:val="20"/>
                <w:szCs w:val="20"/>
              </w:rPr>
              <w:t>as required</w:t>
            </w:r>
            <w:r w:rsidR="00243112">
              <w:rPr>
                <w:rFonts w:ascii="Arial" w:hAnsi="Arial" w:cs="Arial"/>
                <w:color w:val="000080"/>
                <w:sz w:val="20"/>
                <w:szCs w:val="20"/>
              </w:rPr>
              <w:t xml:space="preserve"> in the POP recast and </w:t>
            </w:r>
            <w:r w:rsidR="00BF7129">
              <w:rPr>
                <w:rFonts w:ascii="Arial" w:hAnsi="Arial" w:cs="Arial"/>
                <w:color w:val="000080"/>
                <w:sz w:val="20"/>
                <w:szCs w:val="20"/>
              </w:rPr>
              <w:t>regarding</w:t>
            </w:r>
            <w:r w:rsidR="0017139B">
              <w:rPr>
                <w:rFonts w:ascii="Arial" w:hAnsi="Arial" w:cs="Arial"/>
                <w:color w:val="000080"/>
                <w:sz w:val="20"/>
                <w:szCs w:val="20"/>
              </w:rPr>
              <w:t xml:space="preserve"> preparation </w:t>
            </w:r>
            <w:r w:rsidR="00243112">
              <w:rPr>
                <w:rFonts w:ascii="Arial" w:hAnsi="Arial" w:cs="Arial"/>
                <w:color w:val="000080"/>
                <w:sz w:val="20"/>
                <w:szCs w:val="20"/>
              </w:rPr>
              <w:t xml:space="preserve">of the next joint conference of the </w:t>
            </w:r>
            <w:r w:rsidR="00EB332C">
              <w:rPr>
                <w:rFonts w:ascii="Arial" w:hAnsi="Arial" w:cs="Arial"/>
                <w:color w:val="000080"/>
                <w:sz w:val="20"/>
                <w:szCs w:val="20"/>
              </w:rPr>
              <w:t>P</w:t>
            </w:r>
            <w:r w:rsidR="00243112">
              <w:rPr>
                <w:rFonts w:ascii="Arial" w:hAnsi="Arial" w:cs="Arial"/>
                <w:color w:val="000080"/>
                <w:sz w:val="20"/>
                <w:szCs w:val="20"/>
              </w:rPr>
              <w:t xml:space="preserve">arties of the Stockholm, Basel and Rotterdam Conventions scheduled </w:t>
            </w:r>
            <w:r w:rsidR="00A16505">
              <w:rPr>
                <w:rFonts w:ascii="Arial" w:hAnsi="Arial" w:cs="Arial"/>
                <w:color w:val="000080"/>
                <w:sz w:val="20"/>
                <w:szCs w:val="20"/>
              </w:rPr>
              <w:t xml:space="preserve">to take place in Geneva from </w:t>
            </w:r>
            <w:r w:rsidR="004C6D32">
              <w:rPr>
                <w:rFonts w:ascii="Arial" w:hAnsi="Arial" w:cs="Arial"/>
                <w:color w:val="000080"/>
                <w:sz w:val="20"/>
                <w:szCs w:val="20"/>
              </w:rPr>
              <w:t>1</w:t>
            </w:r>
            <w:r w:rsidR="00A16505">
              <w:rPr>
                <w:rFonts w:ascii="Arial" w:hAnsi="Arial" w:cs="Arial"/>
                <w:color w:val="000080"/>
                <w:sz w:val="20"/>
                <w:szCs w:val="20"/>
              </w:rPr>
              <w:t>9</w:t>
            </w:r>
            <w:r w:rsidR="004C6D32">
              <w:rPr>
                <w:rFonts w:ascii="Arial" w:hAnsi="Arial" w:cs="Arial"/>
                <w:color w:val="000080"/>
                <w:sz w:val="20"/>
                <w:szCs w:val="20"/>
              </w:rPr>
              <w:t>-</w:t>
            </w:r>
            <w:r w:rsidR="00A16505">
              <w:rPr>
                <w:rFonts w:ascii="Arial" w:hAnsi="Arial" w:cs="Arial"/>
                <w:color w:val="000080"/>
                <w:sz w:val="20"/>
                <w:szCs w:val="20"/>
              </w:rPr>
              <w:t>30</w:t>
            </w:r>
            <w:r w:rsidR="004C6D32">
              <w:rPr>
                <w:rFonts w:ascii="Arial" w:hAnsi="Arial" w:cs="Arial"/>
                <w:color w:val="000080"/>
                <w:sz w:val="20"/>
                <w:szCs w:val="20"/>
              </w:rPr>
              <w:t xml:space="preserve"> </w:t>
            </w:r>
            <w:r w:rsidR="00A16505">
              <w:rPr>
                <w:rFonts w:ascii="Arial" w:hAnsi="Arial" w:cs="Arial"/>
                <w:color w:val="000080"/>
                <w:sz w:val="20"/>
                <w:szCs w:val="20"/>
              </w:rPr>
              <w:t>July</w:t>
            </w:r>
            <w:r w:rsidR="00243112">
              <w:rPr>
                <w:rFonts w:ascii="Arial" w:hAnsi="Arial" w:cs="Arial"/>
                <w:color w:val="000080"/>
                <w:sz w:val="20"/>
                <w:szCs w:val="20"/>
              </w:rPr>
              <w:t xml:space="preserve"> 2021</w:t>
            </w:r>
            <w:r w:rsidR="0013759B">
              <w:rPr>
                <w:rFonts w:ascii="Arial" w:hAnsi="Arial" w:cs="Arial"/>
                <w:color w:val="000080"/>
                <w:sz w:val="20"/>
                <w:szCs w:val="20"/>
              </w:rPr>
              <w:t>.</w:t>
            </w:r>
            <w:r w:rsidR="004C6D32">
              <w:rPr>
                <w:rFonts w:ascii="Arial" w:hAnsi="Arial" w:cs="Arial"/>
                <w:color w:val="000080"/>
                <w:sz w:val="20"/>
                <w:szCs w:val="20"/>
              </w:rPr>
              <w:t xml:space="preserve"> </w:t>
            </w:r>
            <w:r w:rsidR="00243112">
              <w:rPr>
                <w:rFonts w:ascii="Arial" w:hAnsi="Arial" w:cs="Arial"/>
                <w:color w:val="000080"/>
                <w:sz w:val="20"/>
                <w:szCs w:val="20"/>
              </w:rPr>
              <w:t xml:space="preserve">  </w:t>
            </w:r>
          </w:p>
        </w:tc>
      </w:tr>
      <w:tr w:rsidTr="00203E25">
        <w:tblPrEx>
          <w:tblW w:w="10314" w:type="dxa"/>
          <w:tblLook w:val="01E0"/>
        </w:tblPrEx>
        <w:tc>
          <w:tcPr>
            <w:tcW w:w="10314" w:type="dxa"/>
            <w:tcBorders>
              <w:bottom w:val="single" w:sz="4" w:space="0" w:color="auto"/>
            </w:tcBorders>
            <w:shd w:val="clear" w:color="auto" w:fill="E6E6E6"/>
          </w:tcPr>
          <w:p w:rsidR="0071651E" w:rsidRPr="00063592" w:rsidP="00AF4469">
            <w:pPr>
              <w:spacing w:before="60" w:after="60"/>
              <w:jc w:val="both"/>
              <w:rPr>
                <w:rFonts w:ascii="Arial" w:hAnsi="Arial" w:cs="Arial"/>
                <w:b/>
                <w:sz w:val="20"/>
                <w:szCs w:val="20"/>
              </w:rPr>
            </w:pPr>
            <w:r>
              <w:rPr>
                <w:rFonts w:ascii="Arial" w:hAnsi="Arial" w:cs="Arial"/>
                <w:b/>
                <w:sz w:val="20"/>
                <w:szCs w:val="20"/>
              </w:rPr>
              <w:t>Problem the initiative aims to tackle</w:t>
            </w:r>
            <w:r w:rsidR="000E57ED">
              <w:rPr>
                <w:rFonts w:ascii="Arial" w:hAnsi="Arial" w:cs="Arial"/>
                <w:b/>
                <w:sz w:val="20"/>
                <w:szCs w:val="20"/>
              </w:rPr>
              <w:t xml:space="preserve"> </w:t>
            </w:r>
          </w:p>
        </w:tc>
      </w:tr>
      <w:tr w:rsidTr="00580A2E">
        <w:tblPrEx>
          <w:tblW w:w="10314" w:type="dxa"/>
          <w:tblLook w:val="01E0"/>
        </w:tblPrEx>
        <w:tc>
          <w:tcPr>
            <w:tcW w:w="10314" w:type="dxa"/>
            <w:tcBorders>
              <w:bottom w:val="single" w:sz="4" w:space="0" w:color="auto"/>
            </w:tcBorders>
            <w:shd w:val="clear" w:color="auto" w:fill="auto"/>
            <w:vAlign w:val="center"/>
          </w:tcPr>
          <w:p w:rsidR="00CA6339" w:rsidP="007A54DF">
            <w:pPr>
              <w:spacing w:before="60" w:after="60"/>
              <w:jc w:val="both"/>
              <w:rPr>
                <w:rFonts w:ascii="Arial" w:hAnsi="Arial" w:cs="Arial"/>
                <w:color w:val="000080"/>
                <w:sz w:val="20"/>
                <w:szCs w:val="20"/>
              </w:rPr>
            </w:pPr>
            <w:r w:rsidRPr="00D05940">
              <w:rPr>
                <w:rFonts w:ascii="Arial" w:hAnsi="Arial" w:cs="Arial"/>
                <w:color w:val="000080"/>
                <w:sz w:val="20"/>
                <w:szCs w:val="20"/>
              </w:rPr>
              <w:t>P</w:t>
            </w:r>
            <w:r>
              <w:rPr>
                <w:rFonts w:ascii="Arial" w:hAnsi="Arial" w:cs="Arial"/>
                <w:color w:val="000080"/>
                <w:sz w:val="20"/>
                <w:szCs w:val="20"/>
              </w:rPr>
              <w:t xml:space="preserve">OPs </w:t>
            </w:r>
            <w:r w:rsidRPr="00D05940">
              <w:rPr>
                <w:rFonts w:ascii="Arial" w:hAnsi="Arial" w:cs="Arial"/>
                <w:color w:val="000080"/>
                <w:sz w:val="20"/>
                <w:szCs w:val="20"/>
              </w:rPr>
              <w:t xml:space="preserve">are a group of organic compounds that possess toxic properties, persist in the environment, accumulate </w:t>
            </w:r>
            <w:r>
              <w:rPr>
                <w:rFonts w:ascii="Arial" w:hAnsi="Arial" w:cs="Arial"/>
                <w:color w:val="000080"/>
                <w:sz w:val="20"/>
                <w:szCs w:val="20"/>
              </w:rPr>
              <w:t>in food chains</w:t>
            </w:r>
            <w:r w:rsidRPr="00D05940">
              <w:rPr>
                <w:rFonts w:ascii="Arial" w:hAnsi="Arial" w:cs="Arial"/>
                <w:color w:val="000080"/>
                <w:sz w:val="20"/>
                <w:szCs w:val="20"/>
              </w:rPr>
              <w:t xml:space="preserve"> and pose a risk to human health and the environment. </w:t>
            </w:r>
            <w:r w:rsidR="0087556D">
              <w:rPr>
                <w:rFonts w:ascii="Arial" w:hAnsi="Arial" w:cs="Arial"/>
                <w:color w:val="000080"/>
                <w:sz w:val="20"/>
                <w:szCs w:val="20"/>
              </w:rPr>
              <w:t>Because of their persistence, t</w:t>
            </w:r>
            <w:r w:rsidRPr="00D05940">
              <w:rPr>
                <w:rFonts w:ascii="Arial" w:hAnsi="Arial" w:cs="Arial"/>
                <w:color w:val="000080"/>
                <w:sz w:val="20"/>
                <w:szCs w:val="20"/>
              </w:rPr>
              <w:t xml:space="preserve">hese chemicals </w:t>
            </w:r>
            <w:r w:rsidR="0087556D">
              <w:rPr>
                <w:rFonts w:ascii="Arial" w:hAnsi="Arial" w:cs="Arial"/>
                <w:color w:val="000080"/>
                <w:sz w:val="20"/>
                <w:szCs w:val="20"/>
              </w:rPr>
              <w:t>have the potential to be</w:t>
            </w:r>
            <w:r w:rsidRPr="00D05940">
              <w:rPr>
                <w:rFonts w:ascii="Arial" w:hAnsi="Arial" w:cs="Arial"/>
                <w:color w:val="000080"/>
                <w:sz w:val="20"/>
                <w:szCs w:val="20"/>
              </w:rPr>
              <w:t xml:space="preserve"> transported across international boundaries far from their sources through air, water and migratory species. </w:t>
            </w:r>
            <w:r>
              <w:rPr>
                <w:rFonts w:ascii="Arial" w:hAnsi="Arial" w:cs="Arial"/>
                <w:color w:val="000080"/>
                <w:sz w:val="20"/>
                <w:szCs w:val="20"/>
              </w:rPr>
              <w:t xml:space="preserve">Dealing with </w:t>
            </w:r>
            <w:r w:rsidRPr="00D05940">
              <w:rPr>
                <w:rFonts w:ascii="Arial" w:hAnsi="Arial" w:cs="Arial"/>
                <w:color w:val="000080"/>
                <w:sz w:val="20"/>
                <w:szCs w:val="20"/>
              </w:rPr>
              <w:t xml:space="preserve">these </w:t>
            </w:r>
            <w:r>
              <w:rPr>
                <w:rFonts w:ascii="Arial" w:hAnsi="Arial" w:cs="Arial"/>
                <w:color w:val="000080"/>
                <w:sz w:val="20"/>
                <w:szCs w:val="20"/>
              </w:rPr>
              <w:t>substances</w:t>
            </w:r>
            <w:r w:rsidRPr="00D05940">
              <w:rPr>
                <w:rFonts w:ascii="Arial" w:hAnsi="Arial" w:cs="Arial"/>
                <w:color w:val="000080"/>
                <w:sz w:val="20"/>
                <w:szCs w:val="20"/>
              </w:rPr>
              <w:t xml:space="preserve"> in waste streams </w:t>
            </w:r>
            <w:r>
              <w:rPr>
                <w:rFonts w:ascii="Arial" w:hAnsi="Arial" w:cs="Arial"/>
                <w:color w:val="000080"/>
                <w:sz w:val="20"/>
                <w:szCs w:val="20"/>
              </w:rPr>
              <w:t xml:space="preserve">relevant in terms of </w:t>
            </w:r>
            <w:r w:rsidRPr="00D05940">
              <w:rPr>
                <w:rFonts w:ascii="Arial" w:hAnsi="Arial" w:cs="Arial"/>
                <w:color w:val="000080"/>
                <w:sz w:val="20"/>
                <w:szCs w:val="20"/>
              </w:rPr>
              <w:t xml:space="preserve">recycling - like </w:t>
            </w:r>
            <w:r w:rsidR="003179EE">
              <w:rPr>
                <w:rFonts w:ascii="Arial" w:hAnsi="Arial" w:cs="Arial"/>
                <w:color w:val="000080"/>
                <w:sz w:val="20"/>
                <w:szCs w:val="20"/>
              </w:rPr>
              <w:t xml:space="preserve">construction and packaging </w:t>
            </w:r>
            <w:r w:rsidRPr="00D05940">
              <w:rPr>
                <w:rFonts w:ascii="Arial" w:hAnsi="Arial" w:cs="Arial"/>
                <w:color w:val="000080"/>
                <w:sz w:val="20"/>
                <w:szCs w:val="20"/>
              </w:rPr>
              <w:t>plastics, textile</w:t>
            </w:r>
            <w:r>
              <w:rPr>
                <w:rFonts w:ascii="Arial" w:hAnsi="Arial" w:cs="Arial"/>
                <w:color w:val="000080"/>
                <w:sz w:val="20"/>
                <w:szCs w:val="20"/>
              </w:rPr>
              <w:t>,</w:t>
            </w:r>
            <w:r w:rsidRPr="00D05940">
              <w:rPr>
                <w:rFonts w:ascii="Arial" w:hAnsi="Arial" w:cs="Arial"/>
                <w:color w:val="000080"/>
                <w:sz w:val="20"/>
                <w:szCs w:val="20"/>
              </w:rPr>
              <w:t xml:space="preserve"> </w:t>
            </w:r>
            <w:r>
              <w:rPr>
                <w:rFonts w:ascii="Arial" w:hAnsi="Arial" w:cs="Arial"/>
                <w:color w:val="000080"/>
                <w:sz w:val="20"/>
                <w:szCs w:val="20"/>
              </w:rPr>
              <w:t>waste electrical and electronic equipment and</w:t>
            </w:r>
            <w:r w:rsidRPr="00D05940">
              <w:rPr>
                <w:rFonts w:ascii="Arial" w:hAnsi="Arial" w:cs="Arial"/>
                <w:color w:val="000080"/>
                <w:sz w:val="20"/>
                <w:szCs w:val="20"/>
              </w:rPr>
              <w:t xml:space="preserve"> end-of-life vehicles</w:t>
            </w:r>
            <w:r w:rsidR="00563ACA">
              <w:rPr>
                <w:rFonts w:ascii="Arial" w:hAnsi="Arial" w:cs="Arial"/>
                <w:color w:val="000080"/>
                <w:sz w:val="20"/>
                <w:szCs w:val="20"/>
              </w:rPr>
              <w:t>, to the extent not already done in the specific acquis</w:t>
            </w:r>
            <w:r w:rsidRPr="00D05940">
              <w:rPr>
                <w:rFonts w:ascii="Arial" w:hAnsi="Arial" w:cs="Arial"/>
                <w:color w:val="000080"/>
                <w:sz w:val="20"/>
                <w:szCs w:val="20"/>
              </w:rPr>
              <w:t xml:space="preserve"> - is very important. </w:t>
            </w:r>
          </w:p>
          <w:p w:rsidR="00531569" w:rsidP="007A54DF">
            <w:pPr>
              <w:spacing w:before="60" w:after="60"/>
              <w:jc w:val="both"/>
              <w:rPr>
                <w:rFonts w:ascii="Arial" w:hAnsi="Arial" w:cs="Arial"/>
                <w:color w:val="000080"/>
                <w:sz w:val="20"/>
                <w:szCs w:val="20"/>
              </w:rPr>
            </w:pPr>
            <w:r w:rsidRPr="00D05940">
              <w:rPr>
                <w:rFonts w:ascii="Arial" w:hAnsi="Arial" w:cs="Arial"/>
                <w:color w:val="000080"/>
                <w:sz w:val="20"/>
                <w:szCs w:val="20"/>
              </w:rPr>
              <w:t>To avoid</w:t>
            </w:r>
            <w:r>
              <w:rPr>
                <w:rFonts w:ascii="Arial" w:hAnsi="Arial" w:cs="Arial"/>
                <w:color w:val="000080"/>
                <w:sz w:val="20"/>
                <w:szCs w:val="20"/>
              </w:rPr>
              <w:t xml:space="preserve"> or minimise </w:t>
            </w:r>
            <w:r w:rsidRPr="00D05940">
              <w:rPr>
                <w:rFonts w:ascii="Arial" w:hAnsi="Arial" w:cs="Arial"/>
                <w:color w:val="000080"/>
                <w:sz w:val="20"/>
                <w:szCs w:val="20"/>
              </w:rPr>
              <w:t>the</w:t>
            </w:r>
            <w:r w:rsidR="003179EE">
              <w:rPr>
                <w:rFonts w:ascii="Arial" w:hAnsi="Arial" w:cs="Arial"/>
                <w:color w:val="000080"/>
                <w:sz w:val="20"/>
                <w:szCs w:val="20"/>
              </w:rPr>
              <w:t xml:space="preserve"> presence of the</w:t>
            </w:r>
            <w:r w:rsidRPr="00D05940">
              <w:rPr>
                <w:rFonts w:ascii="Arial" w:hAnsi="Arial" w:cs="Arial"/>
                <w:color w:val="000080"/>
                <w:sz w:val="20"/>
                <w:szCs w:val="20"/>
              </w:rPr>
              <w:t xml:space="preserve">se pollutants in new products manufactured with recycled materials, </w:t>
            </w:r>
            <w:r w:rsidR="007A54DF">
              <w:rPr>
                <w:rFonts w:ascii="Arial" w:hAnsi="Arial" w:cs="Arial"/>
                <w:color w:val="000080"/>
                <w:sz w:val="20"/>
                <w:szCs w:val="20"/>
              </w:rPr>
              <w:t xml:space="preserve">the </w:t>
            </w:r>
            <w:r w:rsidR="00BE5FF7">
              <w:rPr>
                <w:rFonts w:ascii="Arial" w:hAnsi="Arial" w:cs="Arial"/>
                <w:color w:val="000080"/>
                <w:sz w:val="20"/>
                <w:szCs w:val="20"/>
              </w:rPr>
              <w:t xml:space="preserve"> </w:t>
            </w:r>
            <w:r w:rsidR="007A54DF">
              <w:rPr>
                <w:rFonts w:ascii="Arial" w:hAnsi="Arial" w:cs="Arial"/>
                <w:color w:val="000080"/>
                <w:sz w:val="20"/>
                <w:szCs w:val="20"/>
              </w:rPr>
              <w:t>POP regulation</w:t>
            </w:r>
            <w:r>
              <w:rPr>
                <w:rFonts w:ascii="Arial" w:hAnsi="Arial" w:cs="Arial"/>
                <w:color w:val="000080"/>
                <w:sz w:val="20"/>
                <w:szCs w:val="20"/>
              </w:rPr>
              <w:t xml:space="preserve"> </w:t>
            </w:r>
            <w:r w:rsidR="00CA6339">
              <w:rPr>
                <w:rFonts w:ascii="Arial" w:hAnsi="Arial" w:cs="Arial"/>
                <w:color w:val="000080"/>
                <w:sz w:val="20"/>
                <w:szCs w:val="20"/>
              </w:rPr>
              <w:t>establishe</w:t>
            </w:r>
            <w:r w:rsidR="007A54DF">
              <w:rPr>
                <w:rFonts w:ascii="Arial" w:hAnsi="Arial" w:cs="Arial"/>
                <w:color w:val="000080"/>
                <w:sz w:val="20"/>
                <w:szCs w:val="20"/>
              </w:rPr>
              <w:t>s</w:t>
            </w:r>
            <w:r w:rsidR="00CA6339">
              <w:rPr>
                <w:rFonts w:ascii="Arial" w:hAnsi="Arial" w:cs="Arial"/>
                <w:color w:val="000080"/>
                <w:sz w:val="20"/>
                <w:szCs w:val="20"/>
              </w:rPr>
              <w:t xml:space="preserve"> </w:t>
            </w:r>
            <w:r w:rsidRPr="00D05940" w:rsidR="00CA6339">
              <w:rPr>
                <w:rFonts w:ascii="Arial" w:hAnsi="Arial" w:cs="Arial"/>
                <w:color w:val="000080"/>
                <w:sz w:val="20"/>
                <w:szCs w:val="20"/>
              </w:rPr>
              <w:t>provisions for the environmental</w:t>
            </w:r>
            <w:r w:rsidR="00CA6339">
              <w:rPr>
                <w:rFonts w:ascii="Arial" w:hAnsi="Arial" w:cs="Arial"/>
                <w:color w:val="000080"/>
                <w:sz w:val="20"/>
                <w:szCs w:val="20"/>
              </w:rPr>
              <w:t>ly</w:t>
            </w:r>
            <w:r w:rsidRPr="00D05940" w:rsidR="00CA6339">
              <w:rPr>
                <w:rFonts w:ascii="Arial" w:hAnsi="Arial" w:cs="Arial"/>
                <w:color w:val="000080"/>
                <w:sz w:val="20"/>
                <w:szCs w:val="20"/>
              </w:rPr>
              <w:t xml:space="preserve"> sound management of wastes</w:t>
            </w:r>
            <w:r w:rsidR="00CA6339">
              <w:rPr>
                <w:rFonts w:ascii="Arial" w:hAnsi="Arial" w:cs="Arial"/>
                <w:color w:val="000080"/>
                <w:sz w:val="20"/>
                <w:szCs w:val="20"/>
              </w:rPr>
              <w:t xml:space="preserve"> determining that</w:t>
            </w:r>
            <w:r>
              <w:rPr>
                <w:rFonts w:ascii="Arial" w:hAnsi="Arial" w:cs="Arial"/>
                <w:color w:val="000080"/>
                <w:sz w:val="20"/>
                <w:szCs w:val="20"/>
              </w:rPr>
              <w:t xml:space="preserve">: 1) </w:t>
            </w:r>
            <w:r w:rsidRPr="00D05940">
              <w:rPr>
                <w:rFonts w:ascii="Arial" w:hAnsi="Arial" w:cs="Arial"/>
                <w:color w:val="000080"/>
                <w:sz w:val="20"/>
                <w:szCs w:val="20"/>
              </w:rPr>
              <w:t xml:space="preserve">waste </w:t>
            </w:r>
            <w:r>
              <w:rPr>
                <w:rFonts w:ascii="Arial" w:hAnsi="Arial" w:cs="Arial"/>
                <w:color w:val="000080"/>
                <w:sz w:val="20"/>
                <w:szCs w:val="20"/>
              </w:rPr>
              <w:t xml:space="preserve">with high POP </w:t>
            </w:r>
            <w:r w:rsidR="00CA6339">
              <w:rPr>
                <w:rFonts w:ascii="Arial" w:hAnsi="Arial" w:cs="Arial"/>
                <w:color w:val="000080"/>
                <w:sz w:val="20"/>
                <w:szCs w:val="20"/>
              </w:rPr>
              <w:t xml:space="preserve">content </w:t>
            </w:r>
            <w:r w:rsidRPr="00D05940">
              <w:rPr>
                <w:rFonts w:ascii="Arial" w:hAnsi="Arial" w:cs="Arial"/>
                <w:color w:val="000080"/>
                <w:sz w:val="20"/>
                <w:szCs w:val="20"/>
              </w:rPr>
              <w:t xml:space="preserve">levels is destroyed </w:t>
            </w:r>
            <w:r>
              <w:rPr>
                <w:rFonts w:ascii="Arial" w:hAnsi="Arial" w:cs="Arial"/>
                <w:color w:val="000080"/>
                <w:sz w:val="20"/>
                <w:szCs w:val="20"/>
              </w:rPr>
              <w:t>or irreversibly transformed (</w:t>
            </w:r>
            <w:r w:rsidRPr="00D05940">
              <w:rPr>
                <w:rFonts w:ascii="Arial" w:hAnsi="Arial" w:cs="Arial"/>
                <w:color w:val="000080"/>
                <w:sz w:val="20"/>
                <w:szCs w:val="20"/>
              </w:rPr>
              <w:t>normally incinerated</w:t>
            </w:r>
            <w:r>
              <w:rPr>
                <w:rFonts w:ascii="Arial" w:hAnsi="Arial" w:cs="Arial"/>
                <w:color w:val="000080"/>
                <w:sz w:val="20"/>
                <w:szCs w:val="20"/>
              </w:rPr>
              <w:t>)</w:t>
            </w:r>
            <w:r w:rsidR="00CA6339">
              <w:rPr>
                <w:rFonts w:ascii="Arial" w:hAnsi="Arial" w:cs="Arial"/>
                <w:color w:val="000080"/>
                <w:sz w:val="20"/>
                <w:szCs w:val="20"/>
              </w:rPr>
              <w:t xml:space="preserve"> and </w:t>
            </w:r>
            <w:r>
              <w:rPr>
                <w:rFonts w:ascii="Arial" w:hAnsi="Arial" w:cs="Arial"/>
                <w:color w:val="000080"/>
                <w:sz w:val="20"/>
                <w:szCs w:val="20"/>
              </w:rPr>
              <w:t xml:space="preserve">2) </w:t>
            </w:r>
            <w:r w:rsidR="00CA6339">
              <w:rPr>
                <w:rFonts w:ascii="Arial" w:hAnsi="Arial" w:cs="Arial"/>
                <w:color w:val="000080"/>
                <w:sz w:val="20"/>
                <w:szCs w:val="20"/>
              </w:rPr>
              <w:t xml:space="preserve">wastes containing these substances below certain specific </w:t>
            </w:r>
            <w:r>
              <w:rPr>
                <w:rFonts w:ascii="Arial" w:hAnsi="Arial" w:cs="Arial"/>
                <w:color w:val="000080"/>
                <w:sz w:val="20"/>
                <w:szCs w:val="20"/>
              </w:rPr>
              <w:t>content limit</w:t>
            </w:r>
            <w:r w:rsidR="00CA6339">
              <w:rPr>
                <w:rFonts w:ascii="Arial" w:hAnsi="Arial" w:cs="Arial"/>
                <w:color w:val="000080"/>
                <w:sz w:val="20"/>
                <w:szCs w:val="20"/>
              </w:rPr>
              <w:t xml:space="preserve">s </w:t>
            </w:r>
            <w:r>
              <w:rPr>
                <w:rFonts w:ascii="Arial" w:hAnsi="Arial" w:cs="Arial"/>
                <w:color w:val="000080"/>
                <w:sz w:val="20"/>
                <w:szCs w:val="20"/>
              </w:rPr>
              <w:t>can be disposed or recovered without the requirement that the</w:t>
            </w:r>
            <w:r w:rsidRPr="00D05940">
              <w:rPr>
                <w:rFonts w:ascii="Arial" w:hAnsi="Arial" w:cs="Arial"/>
                <w:color w:val="000080"/>
                <w:sz w:val="20"/>
                <w:szCs w:val="20"/>
              </w:rPr>
              <w:t xml:space="preserve"> POP content is destroyed or irreversibly transformed. </w:t>
            </w:r>
            <w:r w:rsidR="00CA6339">
              <w:rPr>
                <w:rFonts w:ascii="Arial" w:hAnsi="Arial" w:cs="Arial"/>
                <w:color w:val="000080"/>
                <w:sz w:val="20"/>
                <w:szCs w:val="20"/>
              </w:rPr>
              <w:t xml:space="preserve"> Furthermore</w:t>
            </w:r>
            <w:r w:rsidR="00BE5FF7">
              <w:rPr>
                <w:rFonts w:ascii="Arial" w:hAnsi="Arial" w:cs="Arial"/>
                <w:color w:val="000080"/>
                <w:sz w:val="20"/>
                <w:szCs w:val="20"/>
              </w:rPr>
              <w:t>,</w:t>
            </w:r>
            <w:r w:rsidR="00CA6339">
              <w:rPr>
                <w:rFonts w:ascii="Arial" w:hAnsi="Arial" w:cs="Arial"/>
                <w:color w:val="000080"/>
                <w:sz w:val="20"/>
                <w:szCs w:val="20"/>
              </w:rPr>
              <w:t xml:space="preserve"> </w:t>
            </w:r>
            <w:r w:rsidRPr="00D05940" w:rsidR="00CA6339">
              <w:rPr>
                <w:rFonts w:ascii="Arial" w:hAnsi="Arial" w:cs="Arial"/>
                <w:color w:val="000080"/>
                <w:sz w:val="20"/>
                <w:szCs w:val="20"/>
              </w:rPr>
              <w:t>the placing o</w:t>
            </w:r>
            <w:r w:rsidR="00EB332C">
              <w:rPr>
                <w:rFonts w:ascii="Arial" w:hAnsi="Arial" w:cs="Arial"/>
                <w:color w:val="000080"/>
                <w:sz w:val="20"/>
                <w:szCs w:val="20"/>
              </w:rPr>
              <w:t>n</w:t>
            </w:r>
            <w:r w:rsidRPr="00D05940" w:rsidR="00CA6339">
              <w:rPr>
                <w:rFonts w:ascii="Arial" w:hAnsi="Arial" w:cs="Arial"/>
                <w:color w:val="000080"/>
                <w:sz w:val="20"/>
                <w:szCs w:val="20"/>
              </w:rPr>
              <w:t xml:space="preserve"> the market of new products and articles is subject to maximum </w:t>
            </w:r>
            <w:r w:rsidR="00CA6339">
              <w:rPr>
                <w:rFonts w:ascii="Arial" w:hAnsi="Arial" w:cs="Arial"/>
                <w:color w:val="000080"/>
                <w:sz w:val="20"/>
                <w:szCs w:val="20"/>
              </w:rPr>
              <w:t xml:space="preserve">POP content limits also established by the regulation. </w:t>
            </w:r>
            <w:r w:rsidRPr="00D05940">
              <w:rPr>
                <w:rFonts w:ascii="Arial" w:hAnsi="Arial" w:cs="Arial"/>
                <w:color w:val="000080"/>
                <w:sz w:val="20"/>
                <w:szCs w:val="20"/>
              </w:rPr>
              <w:t>The validity of this approach is widely recognised at international level</w:t>
            </w:r>
            <w:r>
              <w:rPr>
                <w:rFonts w:ascii="Arial" w:hAnsi="Arial" w:cs="Arial"/>
                <w:color w:val="000080"/>
                <w:sz w:val="20"/>
                <w:szCs w:val="20"/>
              </w:rPr>
              <w:t xml:space="preserve"> under the</w:t>
            </w:r>
            <w:r w:rsidRPr="00D05940">
              <w:rPr>
                <w:rFonts w:ascii="Arial" w:hAnsi="Arial" w:cs="Arial"/>
                <w:color w:val="000080"/>
                <w:sz w:val="20"/>
                <w:szCs w:val="20"/>
              </w:rPr>
              <w:t xml:space="preserve"> </w:t>
            </w:r>
            <w:r>
              <w:fldChar w:fldCharType="begin"/>
            </w:r>
            <w:r>
              <w:instrText xml:space="preserve"> HYPERLINK "http://www.basel.int/TheConvention/Overview/TextoftheConvention/tabid/1275/Default.aspx" </w:instrText>
            </w:r>
            <w:r>
              <w:fldChar w:fldCharType="separate"/>
            </w:r>
            <w:r w:rsidRPr="00E857AE">
              <w:rPr>
                <w:rStyle w:val="Hyperlink"/>
                <w:rFonts w:ascii="Arial" w:hAnsi="Arial" w:cs="Arial"/>
                <w:sz w:val="20"/>
                <w:szCs w:val="20"/>
              </w:rPr>
              <w:t>Basel Convention</w:t>
            </w:r>
            <w:r>
              <w:fldChar w:fldCharType="end"/>
            </w:r>
            <w:r w:rsidRPr="00D05940">
              <w:rPr>
                <w:rFonts w:ascii="Arial" w:hAnsi="Arial" w:cs="Arial"/>
                <w:color w:val="000080"/>
                <w:sz w:val="20"/>
                <w:szCs w:val="20"/>
              </w:rPr>
              <w:t>.</w:t>
            </w:r>
            <w:r>
              <w:rPr>
                <w:rFonts w:ascii="Arial" w:hAnsi="Arial" w:cs="Arial"/>
                <w:color w:val="000080"/>
                <w:sz w:val="20"/>
                <w:szCs w:val="20"/>
              </w:rPr>
              <w:t xml:space="preserve"> </w:t>
            </w:r>
          </w:p>
          <w:p w:rsidR="00221873" w:rsidP="007A54DF">
            <w:pPr>
              <w:spacing w:before="60" w:after="60"/>
              <w:jc w:val="both"/>
              <w:rPr>
                <w:rFonts w:ascii="Arial" w:hAnsi="Arial" w:cs="Arial"/>
                <w:color w:val="000080"/>
                <w:sz w:val="20"/>
                <w:szCs w:val="20"/>
              </w:rPr>
            </w:pPr>
            <w:r>
              <w:rPr>
                <w:rFonts w:ascii="Arial" w:hAnsi="Arial" w:cs="Arial"/>
                <w:color w:val="000080"/>
                <w:sz w:val="20"/>
                <w:szCs w:val="20"/>
              </w:rPr>
              <w:t>The Commission has to revise or define new values for ten different substances or families of POP substances in waste. Each of them are present in a variety of products and waste</w:t>
            </w:r>
            <w:r w:rsidR="003179EE">
              <w:rPr>
                <w:rFonts w:ascii="Arial" w:hAnsi="Arial" w:cs="Arial"/>
                <w:color w:val="000080"/>
                <w:sz w:val="20"/>
                <w:szCs w:val="20"/>
              </w:rPr>
              <w:t>s</w:t>
            </w:r>
            <w:r>
              <w:rPr>
                <w:rFonts w:ascii="Arial" w:hAnsi="Arial" w:cs="Arial"/>
                <w:color w:val="000080"/>
                <w:sz w:val="20"/>
                <w:szCs w:val="20"/>
              </w:rPr>
              <w:t xml:space="preserve"> which are of different relevance in terms of their amounts, material typ</w:t>
            </w:r>
            <w:r w:rsidR="007A54DF">
              <w:rPr>
                <w:rFonts w:ascii="Arial" w:hAnsi="Arial" w:cs="Arial"/>
                <w:color w:val="000080"/>
                <w:sz w:val="20"/>
                <w:szCs w:val="20"/>
              </w:rPr>
              <w:t xml:space="preserve">e, </w:t>
            </w:r>
            <w:r w:rsidR="00BE5FF7">
              <w:rPr>
                <w:rFonts w:ascii="Arial" w:hAnsi="Arial" w:cs="Arial"/>
                <w:color w:val="000080"/>
                <w:sz w:val="20"/>
                <w:szCs w:val="20"/>
              </w:rPr>
              <w:t xml:space="preserve">(current) </w:t>
            </w:r>
            <w:r w:rsidR="007A54DF">
              <w:rPr>
                <w:rFonts w:ascii="Arial" w:hAnsi="Arial" w:cs="Arial"/>
                <w:color w:val="000080"/>
                <w:sz w:val="20"/>
                <w:szCs w:val="20"/>
              </w:rPr>
              <w:t>recyclability and hazard/</w:t>
            </w:r>
            <w:r>
              <w:rPr>
                <w:rFonts w:ascii="Arial" w:hAnsi="Arial" w:cs="Arial"/>
                <w:color w:val="000080"/>
                <w:sz w:val="20"/>
                <w:szCs w:val="20"/>
              </w:rPr>
              <w:t>risk profiles. The problem</w:t>
            </w:r>
            <w:r w:rsidR="007A54DF">
              <w:rPr>
                <w:rFonts w:ascii="Arial" w:hAnsi="Arial" w:cs="Arial"/>
                <w:color w:val="000080"/>
                <w:sz w:val="20"/>
                <w:szCs w:val="20"/>
              </w:rPr>
              <w:t>s</w:t>
            </w:r>
            <w:r>
              <w:rPr>
                <w:rFonts w:ascii="Arial" w:hAnsi="Arial" w:cs="Arial"/>
                <w:color w:val="000080"/>
                <w:sz w:val="20"/>
                <w:szCs w:val="20"/>
              </w:rPr>
              <w:t xml:space="preserve"> to be addressed by this initiative </w:t>
            </w:r>
            <w:r w:rsidR="007A54DF">
              <w:rPr>
                <w:rFonts w:ascii="Arial" w:hAnsi="Arial" w:cs="Arial"/>
                <w:color w:val="000080"/>
                <w:sz w:val="20"/>
                <w:szCs w:val="20"/>
              </w:rPr>
              <w:t>are</w:t>
            </w:r>
            <w:r>
              <w:rPr>
                <w:rFonts w:ascii="Arial" w:hAnsi="Arial" w:cs="Arial"/>
                <w:color w:val="000080"/>
                <w:sz w:val="20"/>
                <w:szCs w:val="20"/>
              </w:rPr>
              <w:t xml:space="preserve"> the negative consequences of the presence of certain POP substances in waste and in material that could be recovered from it. </w:t>
            </w:r>
            <w:r>
              <w:rPr>
                <w:rFonts w:ascii="Arial" w:hAnsi="Arial" w:cs="Arial"/>
                <w:color w:val="000080"/>
                <w:sz w:val="20"/>
                <w:szCs w:val="20"/>
              </w:rPr>
              <w:t xml:space="preserve">More specifically the substances concerned are: </w:t>
            </w:r>
          </w:p>
          <w:p w:rsidR="00221873" w:rsidP="00221873">
            <w:pPr>
              <w:pStyle w:val="ListParagraph"/>
              <w:numPr>
                <w:ilvl w:val="0"/>
                <w:numId w:val="16"/>
              </w:numPr>
              <w:spacing w:before="60" w:after="60"/>
              <w:jc w:val="both"/>
              <w:rPr>
                <w:rFonts w:ascii="Arial" w:hAnsi="Arial" w:cs="Arial"/>
                <w:color w:val="000080"/>
                <w:sz w:val="20"/>
                <w:szCs w:val="20"/>
              </w:rPr>
            </w:pPr>
            <w:r>
              <w:rPr>
                <w:rFonts w:ascii="Arial" w:hAnsi="Arial" w:cs="Arial"/>
                <w:color w:val="000080"/>
                <w:sz w:val="20"/>
                <w:szCs w:val="20"/>
              </w:rPr>
              <w:t>P</w:t>
            </w:r>
            <w:r w:rsidRPr="00221873">
              <w:rPr>
                <w:rFonts w:ascii="Arial" w:hAnsi="Arial" w:cs="Arial"/>
                <w:color w:val="000080"/>
                <w:sz w:val="20"/>
                <w:szCs w:val="20"/>
              </w:rPr>
              <w:t>olybrominated diphenyl ethers (sum of tetra-, penta-, hexa, hepta- and deca.bromodiphenyl ether);</w:t>
            </w:r>
          </w:p>
          <w:p w:rsidR="00221873" w:rsidP="00221873">
            <w:pPr>
              <w:pStyle w:val="ListParagraph"/>
              <w:numPr>
                <w:ilvl w:val="0"/>
                <w:numId w:val="16"/>
              </w:numPr>
              <w:spacing w:before="60" w:after="60"/>
              <w:jc w:val="both"/>
              <w:rPr>
                <w:rFonts w:ascii="Arial" w:hAnsi="Arial" w:cs="Arial"/>
                <w:color w:val="000080"/>
                <w:sz w:val="20"/>
                <w:szCs w:val="20"/>
              </w:rPr>
            </w:pPr>
            <w:r w:rsidRPr="00221873">
              <w:rPr>
                <w:rFonts w:ascii="Arial" w:hAnsi="Arial" w:cs="Arial"/>
                <w:color w:val="000080"/>
                <w:sz w:val="20"/>
                <w:szCs w:val="20"/>
              </w:rPr>
              <w:t>Short-chain chlorinated paraffins (SCCPs)</w:t>
            </w:r>
            <w:r>
              <w:rPr>
                <w:rFonts w:ascii="Arial" w:hAnsi="Arial" w:cs="Arial"/>
                <w:color w:val="000080"/>
                <w:sz w:val="20"/>
                <w:szCs w:val="20"/>
              </w:rPr>
              <w:t>;</w:t>
            </w:r>
          </w:p>
          <w:p w:rsidR="00221873" w:rsidP="00221873">
            <w:pPr>
              <w:pStyle w:val="ListParagraph"/>
              <w:numPr>
                <w:ilvl w:val="0"/>
                <w:numId w:val="16"/>
              </w:numPr>
              <w:spacing w:before="60" w:after="60"/>
              <w:jc w:val="both"/>
              <w:rPr>
                <w:rFonts w:ascii="Arial" w:hAnsi="Arial" w:cs="Arial"/>
                <w:color w:val="000080"/>
                <w:sz w:val="20"/>
                <w:szCs w:val="20"/>
              </w:rPr>
            </w:pPr>
            <w:r w:rsidRPr="00221873">
              <w:rPr>
                <w:rFonts w:ascii="Arial" w:hAnsi="Arial" w:cs="Arial"/>
                <w:color w:val="000080"/>
                <w:sz w:val="20"/>
                <w:szCs w:val="20"/>
              </w:rPr>
              <w:t>Pentadecafluorooctanoic acid (PFOA</w:t>
            </w:r>
            <w:r>
              <w:rPr>
                <w:rFonts w:ascii="Arial" w:hAnsi="Arial" w:cs="Arial"/>
                <w:color w:val="000080"/>
                <w:sz w:val="20"/>
                <w:szCs w:val="20"/>
              </w:rPr>
              <w:t xml:space="preserve">) </w:t>
            </w:r>
            <w:r w:rsidRPr="00221873">
              <w:rPr>
                <w:rFonts w:ascii="Arial" w:hAnsi="Arial" w:cs="Arial"/>
                <w:color w:val="000080"/>
                <w:sz w:val="20"/>
                <w:szCs w:val="20"/>
              </w:rPr>
              <w:t>its salts and PFOA-related compounds</w:t>
            </w:r>
            <w:r>
              <w:rPr>
                <w:rFonts w:ascii="Arial" w:hAnsi="Arial" w:cs="Arial"/>
                <w:color w:val="000080"/>
                <w:sz w:val="20"/>
                <w:szCs w:val="20"/>
              </w:rPr>
              <w:t>;</w:t>
            </w:r>
          </w:p>
          <w:p w:rsidR="00221873" w:rsidRPr="00221873" w:rsidP="00221873">
            <w:pPr>
              <w:pStyle w:val="ListParagraph"/>
              <w:numPr>
                <w:ilvl w:val="0"/>
                <w:numId w:val="16"/>
              </w:numPr>
              <w:rPr>
                <w:rFonts w:ascii="Arial" w:hAnsi="Arial" w:cs="Arial"/>
                <w:color w:val="000080"/>
                <w:sz w:val="20"/>
                <w:szCs w:val="20"/>
              </w:rPr>
            </w:pPr>
            <w:r w:rsidRPr="00221873">
              <w:rPr>
                <w:rFonts w:ascii="Arial" w:hAnsi="Arial" w:cs="Arial"/>
                <w:color w:val="000080"/>
                <w:sz w:val="20"/>
                <w:szCs w:val="20"/>
              </w:rPr>
              <w:t>Perfluorohexanoic acid (PFHxS), its salts and PFHxS-related compounds</w:t>
            </w:r>
            <w:r>
              <w:rPr>
                <w:rFonts w:ascii="Arial" w:hAnsi="Arial" w:cs="Arial"/>
                <w:color w:val="000080"/>
                <w:sz w:val="20"/>
                <w:szCs w:val="20"/>
              </w:rPr>
              <w:t>;</w:t>
            </w:r>
          </w:p>
          <w:p w:rsidR="00221873" w:rsidP="00221873">
            <w:pPr>
              <w:pStyle w:val="ListParagraph"/>
              <w:numPr>
                <w:ilvl w:val="0"/>
                <w:numId w:val="16"/>
              </w:numPr>
              <w:spacing w:before="60" w:after="60"/>
              <w:jc w:val="both"/>
              <w:rPr>
                <w:rFonts w:ascii="Arial" w:hAnsi="Arial" w:cs="Arial"/>
                <w:color w:val="000080"/>
                <w:sz w:val="20"/>
                <w:szCs w:val="20"/>
              </w:rPr>
            </w:pPr>
            <w:r w:rsidRPr="00221873">
              <w:rPr>
                <w:rFonts w:ascii="Arial" w:hAnsi="Arial" w:cs="Arial"/>
                <w:color w:val="000080"/>
                <w:sz w:val="20"/>
                <w:szCs w:val="20"/>
              </w:rPr>
              <w:t>Hexabromocyclododecane</w:t>
            </w:r>
            <w:r>
              <w:rPr>
                <w:rFonts w:ascii="Arial" w:hAnsi="Arial" w:cs="Arial"/>
                <w:color w:val="000080"/>
                <w:sz w:val="20"/>
                <w:szCs w:val="20"/>
              </w:rPr>
              <w:t xml:space="preserve"> (HBCD, HBCDD);</w:t>
            </w:r>
          </w:p>
          <w:p w:rsidR="00221873" w:rsidP="00221873">
            <w:pPr>
              <w:pStyle w:val="ListParagraph"/>
              <w:numPr>
                <w:ilvl w:val="0"/>
                <w:numId w:val="16"/>
              </w:numPr>
              <w:spacing w:before="60" w:after="60"/>
              <w:jc w:val="both"/>
              <w:rPr>
                <w:rFonts w:ascii="Arial" w:hAnsi="Arial" w:cs="Arial"/>
                <w:color w:val="000080"/>
                <w:sz w:val="20"/>
                <w:szCs w:val="20"/>
              </w:rPr>
            </w:pPr>
            <w:r w:rsidRPr="00221873">
              <w:rPr>
                <w:rFonts w:ascii="Arial" w:hAnsi="Arial" w:cs="Arial"/>
                <w:color w:val="000080"/>
                <w:sz w:val="20"/>
                <w:szCs w:val="20"/>
              </w:rPr>
              <w:t>Pentachlorophenol (PCP) and its salts and esters</w:t>
            </w:r>
            <w:r>
              <w:rPr>
                <w:rFonts w:ascii="Arial" w:hAnsi="Arial" w:cs="Arial"/>
                <w:color w:val="000080"/>
                <w:sz w:val="20"/>
                <w:szCs w:val="20"/>
              </w:rPr>
              <w:t>;</w:t>
            </w:r>
          </w:p>
          <w:p w:rsidR="00221873" w:rsidRPr="00221873" w:rsidP="00221873">
            <w:pPr>
              <w:pStyle w:val="ListParagraph"/>
              <w:numPr>
                <w:ilvl w:val="0"/>
                <w:numId w:val="16"/>
              </w:numPr>
              <w:rPr>
                <w:rFonts w:ascii="Arial" w:hAnsi="Arial" w:cs="Arial"/>
                <w:color w:val="000080"/>
                <w:sz w:val="20"/>
                <w:szCs w:val="20"/>
              </w:rPr>
            </w:pPr>
            <w:r w:rsidRPr="00221873">
              <w:rPr>
                <w:rFonts w:ascii="Arial" w:hAnsi="Arial" w:cs="Arial"/>
                <w:color w:val="000080"/>
                <w:sz w:val="20"/>
                <w:szCs w:val="20"/>
              </w:rPr>
              <w:t>Polychlorinated Biphenyls (PCB)</w:t>
            </w:r>
            <w:r w:rsidR="00E71C99">
              <w:rPr>
                <w:rFonts w:ascii="Arial" w:hAnsi="Arial" w:cs="Arial"/>
                <w:color w:val="000080"/>
                <w:sz w:val="20"/>
                <w:szCs w:val="20"/>
              </w:rPr>
              <w:t>, including dioxin-like PCBs</w:t>
            </w:r>
            <w:r>
              <w:rPr>
                <w:rFonts w:ascii="Arial" w:hAnsi="Arial" w:cs="Arial"/>
                <w:color w:val="000080"/>
                <w:sz w:val="20"/>
                <w:szCs w:val="20"/>
              </w:rPr>
              <w:t>;</w:t>
            </w:r>
          </w:p>
          <w:p w:rsidR="00221873" w:rsidP="00221873">
            <w:pPr>
              <w:pStyle w:val="ListParagraph"/>
              <w:numPr>
                <w:ilvl w:val="0"/>
                <w:numId w:val="16"/>
              </w:numPr>
              <w:rPr>
                <w:rFonts w:ascii="Arial" w:hAnsi="Arial" w:cs="Arial"/>
                <w:color w:val="000080"/>
                <w:sz w:val="20"/>
                <w:szCs w:val="20"/>
              </w:rPr>
            </w:pPr>
            <w:r w:rsidRPr="00221873">
              <w:rPr>
                <w:rFonts w:ascii="Arial" w:hAnsi="Arial" w:cs="Arial"/>
                <w:color w:val="000080"/>
                <w:sz w:val="20"/>
                <w:szCs w:val="20"/>
              </w:rPr>
              <w:t>Polychlorinated dibenzo-p-dioxins and dibenzofurans (PCDD/PCDF)</w:t>
            </w:r>
            <w:r>
              <w:rPr>
                <w:rFonts w:ascii="Arial" w:hAnsi="Arial" w:cs="Arial"/>
                <w:color w:val="000080"/>
                <w:sz w:val="20"/>
                <w:szCs w:val="20"/>
              </w:rPr>
              <w:t>;</w:t>
            </w:r>
          </w:p>
          <w:p w:rsidR="00221873" w:rsidRPr="00221873" w:rsidP="00221873">
            <w:pPr>
              <w:pStyle w:val="ListParagraph"/>
              <w:numPr>
                <w:ilvl w:val="0"/>
                <w:numId w:val="16"/>
              </w:numPr>
              <w:rPr>
                <w:rFonts w:ascii="Arial" w:hAnsi="Arial" w:cs="Arial"/>
                <w:color w:val="000080"/>
                <w:sz w:val="20"/>
                <w:szCs w:val="20"/>
              </w:rPr>
            </w:pPr>
            <w:r w:rsidRPr="00221873">
              <w:rPr>
                <w:rFonts w:ascii="Arial" w:hAnsi="Arial" w:cs="Arial"/>
                <w:color w:val="000080"/>
                <w:sz w:val="20"/>
                <w:szCs w:val="20"/>
              </w:rPr>
              <w:t>Hexachlorobutadiene (HCBD)</w:t>
            </w:r>
            <w:r>
              <w:rPr>
                <w:rFonts w:ascii="Arial" w:hAnsi="Arial" w:cs="Arial"/>
                <w:color w:val="000080"/>
                <w:sz w:val="20"/>
                <w:szCs w:val="20"/>
              </w:rPr>
              <w:t>;</w:t>
            </w:r>
          </w:p>
          <w:p w:rsidR="00221873" w:rsidRPr="00221873" w:rsidP="00221873">
            <w:pPr>
              <w:pStyle w:val="ListParagraph"/>
              <w:numPr>
                <w:ilvl w:val="0"/>
                <w:numId w:val="16"/>
              </w:numPr>
              <w:spacing w:before="60" w:after="60"/>
              <w:jc w:val="both"/>
              <w:rPr>
                <w:rFonts w:ascii="Arial" w:hAnsi="Arial" w:cs="Arial"/>
                <w:color w:val="000080"/>
                <w:sz w:val="20"/>
                <w:szCs w:val="20"/>
              </w:rPr>
            </w:pPr>
            <w:r>
              <w:rPr>
                <w:rFonts w:ascii="Arial" w:hAnsi="Arial" w:cs="Arial"/>
                <w:color w:val="000080"/>
                <w:sz w:val="20"/>
                <w:szCs w:val="20"/>
              </w:rPr>
              <w:t>Dicofol</w:t>
            </w:r>
          </w:p>
          <w:p w:rsidR="00D05940" w:rsidRPr="00D05940" w:rsidP="00BE5FF7">
            <w:pPr>
              <w:spacing w:before="60" w:after="60"/>
              <w:jc w:val="both"/>
              <w:rPr>
                <w:rFonts w:ascii="Arial" w:hAnsi="Arial" w:cs="Arial"/>
                <w:color w:val="00B050"/>
                <w:sz w:val="20"/>
                <w:szCs w:val="20"/>
              </w:rPr>
            </w:pPr>
            <w:r>
              <w:rPr>
                <w:rFonts w:ascii="Arial" w:hAnsi="Arial" w:cs="Arial"/>
                <w:color w:val="000080"/>
                <w:sz w:val="20"/>
                <w:szCs w:val="20"/>
              </w:rPr>
              <w:t xml:space="preserve">The </w:t>
            </w:r>
            <w:r w:rsidR="00BE5FF7">
              <w:rPr>
                <w:rFonts w:ascii="Arial" w:hAnsi="Arial" w:cs="Arial"/>
                <w:color w:val="000080"/>
                <w:sz w:val="20"/>
                <w:szCs w:val="20"/>
              </w:rPr>
              <w:t xml:space="preserve">initiative faces the </w:t>
            </w:r>
            <w:r>
              <w:rPr>
                <w:rFonts w:ascii="Arial" w:hAnsi="Arial" w:cs="Arial"/>
                <w:color w:val="000080"/>
                <w:sz w:val="20"/>
                <w:szCs w:val="20"/>
              </w:rPr>
              <w:t>challenge</w:t>
            </w:r>
            <w:r w:rsidR="00BE5FF7">
              <w:rPr>
                <w:rFonts w:ascii="Arial" w:hAnsi="Arial" w:cs="Arial"/>
                <w:color w:val="000080"/>
                <w:sz w:val="20"/>
                <w:szCs w:val="20"/>
              </w:rPr>
              <w:t xml:space="preserve"> to</w:t>
            </w:r>
            <w:r>
              <w:rPr>
                <w:rFonts w:ascii="Arial" w:hAnsi="Arial" w:cs="Arial"/>
                <w:color w:val="000080"/>
                <w:sz w:val="20"/>
                <w:szCs w:val="20"/>
              </w:rPr>
              <w:t xml:space="preserve"> </w:t>
            </w:r>
            <w:r w:rsidR="00531569">
              <w:rPr>
                <w:rFonts w:ascii="Arial" w:hAnsi="Arial" w:cs="Arial"/>
                <w:color w:val="000080"/>
                <w:sz w:val="20"/>
                <w:szCs w:val="20"/>
              </w:rPr>
              <w:t>determin</w:t>
            </w:r>
            <w:r w:rsidR="00BE5FF7">
              <w:rPr>
                <w:rFonts w:ascii="Arial" w:hAnsi="Arial" w:cs="Arial"/>
                <w:color w:val="000080"/>
                <w:sz w:val="20"/>
                <w:szCs w:val="20"/>
              </w:rPr>
              <w:t>e adequate</w:t>
            </w:r>
            <w:r w:rsidR="00531569">
              <w:rPr>
                <w:rFonts w:ascii="Arial" w:hAnsi="Arial" w:cs="Arial"/>
                <w:color w:val="000080"/>
                <w:sz w:val="20"/>
                <w:szCs w:val="20"/>
              </w:rPr>
              <w:t xml:space="preserve"> limit values for each substance</w:t>
            </w:r>
            <w:r>
              <w:rPr>
                <w:rFonts w:ascii="Arial" w:hAnsi="Arial" w:cs="Arial"/>
                <w:color w:val="000080"/>
                <w:sz w:val="20"/>
                <w:szCs w:val="20"/>
              </w:rPr>
              <w:t xml:space="preserve"> (or group of substances)</w:t>
            </w:r>
            <w:r w:rsidR="00531569">
              <w:rPr>
                <w:rFonts w:ascii="Arial" w:hAnsi="Arial" w:cs="Arial"/>
                <w:color w:val="000080"/>
                <w:sz w:val="20"/>
                <w:szCs w:val="20"/>
              </w:rPr>
              <w:t xml:space="preserve"> in waste </w:t>
            </w:r>
            <w:r w:rsidR="003D2582">
              <w:rPr>
                <w:rFonts w:ascii="Arial" w:hAnsi="Arial" w:cs="Arial"/>
                <w:color w:val="000080"/>
                <w:sz w:val="20"/>
                <w:szCs w:val="20"/>
              </w:rPr>
              <w:t xml:space="preserve">that </w:t>
            </w:r>
            <w:r w:rsidR="007A54DF">
              <w:rPr>
                <w:rFonts w:ascii="Arial" w:hAnsi="Arial" w:cs="Arial"/>
                <w:color w:val="000080"/>
                <w:sz w:val="20"/>
                <w:szCs w:val="20"/>
              </w:rPr>
              <w:t xml:space="preserve">guarantees its </w:t>
            </w:r>
            <w:r w:rsidR="00531569">
              <w:rPr>
                <w:rFonts w:ascii="Arial" w:hAnsi="Arial" w:cs="Arial"/>
                <w:color w:val="000080"/>
                <w:sz w:val="20"/>
                <w:szCs w:val="20"/>
              </w:rPr>
              <w:t>sound environmental management</w:t>
            </w:r>
            <w:r w:rsidR="00BE5FF7">
              <w:rPr>
                <w:rFonts w:ascii="Arial" w:hAnsi="Arial" w:cs="Arial"/>
                <w:color w:val="000080"/>
                <w:sz w:val="20"/>
                <w:szCs w:val="20"/>
              </w:rPr>
              <w:t xml:space="preserve"> while ensuring the greatest overall benefit for society</w:t>
            </w:r>
            <w:r w:rsidR="00531569">
              <w:rPr>
                <w:rFonts w:ascii="Arial" w:hAnsi="Arial" w:cs="Arial"/>
                <w:color w:val="000080"/>
                <w:sz w:val="20"/>
                <w:szCs w:val="20"/>
              </w:rPr>
              <w:t xml:space="preserve">. This requires striking the right balance between promoting circular flows of the materials concerned </w:t>
            </w:r>
            <w:r w:rsidR="006030D1">
              <w:rPr>
                <w:rFonts w:ascii="Arial" w:hAnsi="Arial" w:cs="Arial"/>
                <w:color w:val="000080"/>
                <w:sz w:val="20"/>
                <w:szCs w:val="20"/>
              </w:rPr>
              <w:t>and</w:t>
            </w:r>
            <w:r w:rsidR="00531569">
              <w:rPr>
                <w:rFonts w:ascii="Arial" w:hAnsi="Arial" w:cs="Arial"/>
                <w:color w:val="000080"/>
                <w:sz w:val="20"/>
                <w:szCs w:val="20"/>
              </w:rPr>
              <w:t xml:space="preserve"> ensuring a high level of protection of human health and the environment</w:t>
            </w:r>
            <w:r w:rsidR="006030D1">
              <w:rPr>
                <w:rFonts w:ascii="Arial" w:hAnsi="Arial" w:cs="Arial"/>
                <w:color w:val="000080"/>
                <w:sz w:val="20"/>
                <w:szCs w:val="20"/>
              </w:rPr>
              <w:t xml:space="preserve">. </w:t>
            </w:r>
          </w:p>
        </w:tc>
      </w:tr>
      <w:tr w:rsidTr="00203E25">
        <w:tblPrEx>
          <w:tblW w:w="10314" w:type="dxa"/>
          <w:tblLook w:val="01E0"/>
        </w:tblPrEx>
        <w:tc>
          <w:tcPr>
            <w:tcW w:w="10314" w:type="dxa"/>
            <w:tcBorders>
              <w:bottom w:val="single" w:sz="4" w:space="0" w:color="auto"/>
            </w:tcBorders>
            <w:shd w:val="clear" w:color="auto" w:fill="E6E6E6"/>
          </w:tcPr>
          <w:p w:rsidR="00D05940" w:rsidRPr="00063592" w:rsidP="00AF4469">
            <w:pPr>
              <w:spacing w:before="60" w:after="60"/>
              <w:jc w:val="both"/>
              <w:rPr>
                <w:rFonts w:ascii="Arial" w:hAnsi="Arial" w:cs="Arial"/>
                <w:b/>
                <w:sz w:val="20"/>
                <w:szCs w:val="20"/>
              </w:rPr>
            </w:pPr>
            <w:r>
              <w:rPr>
                <w:rFonts w:ascii="Arial" w:hAnsi="Arial" w:cs="Arial"/>
                <w:b/>
                <w:sz w:val="20"/>
                <w:szCs w:val="20"/>
              </w:rPr>
              <w:t xml:space="preserve">Basis for EU intervention (legal basis and subsidiarity check) </w:t>
            </w:r>
          </w:p>
        </w:tc>
      </w:tr>
      <w:tr w:rsidTr="0017139B">
        <w:tblPrEx>
          <w:tblW w:w="10314" w:type="dxa"/>
          <w:tblLook w:val="01E0"/>
        </w:tblPrEx>
        <w:trPr>
          <w:trHeight w:val="2397"/>
        </w:trPr>
        <w:tc>
          <w:tcPr>
            <w:tcW w:w="10314" w:type="dxa"/>
            <w:shd w:val="clear" w:color="auto" w:fill="auto"/>
          </w:tcPr>
          <w:p w:rsidR="00D05940" w:rsidRPr="00DB651E" w:rsidP="00A16505">
            <w:pPr>
              <w:spacing w:before="60" w:after="240"/>
              <w:jc w:val="both"/>
              <w:rPr>
                <w:rFonts w:ascii="Arial" w:hAnsi="Arial" w:cs="Arial"/>
                <w:color w:val="1F497D" w:themeColor="text2"/>
                <w:sz w:val="20"/>
                <w:szCs w:val="20"/>
              </w:rPr>
            </w:pPr>
            <w:r w:rsidRPr="00DB651E">
              <w:rPr>
                <w:rFonts w:ascii="Arial" w:hAnsi="Arial" w:cs="Arial"/>
                <w:color w:val="000080"/>
                <w:sz w:val="20"/>
                <w:szCs w:val="20"/>
              </w:rPr>
              <w:t xml:space="preserve">Pursuant to Articles 191 (1) of the Treaty on the Functioning of the European Union, the European Parliament and the Council of the European Union adopted the Regulation </w:t>
            </w:r>
            <w:r>
              <w:rPr>
                <w:rFonts w:ascii="Arial" w:hAnsi="Arial" w:cs="Arial"/>
                <w:color w:val="000080"/>
                <w:sz w:val="20"/>
                <w:szCs w:val="20"/>
              </w:rPr>
              <w:t>(EU) 2019/1021</w:t>
            </w:r>
            <w:r w:rsidRPr="00DB651E">
              <w:rPr>
                <w:rFonts w:ascii="Arial" w:hAnsi="Arial" w:cs="Arial"/>
                <w:color w:val="000080"/>
                <w:sz w:val="20"/>
                <w:szCs w:val="20"/>
              </w:rPr>
              <w:t>, of 2</w:t>
            </w:r>
            <w:r>
              <w:rPr>
                <w:rFonts w:ascii="Arial" w:hAnsi="Arial" w:cs="Arial"/>
                <w:color w:val="000080"/>
                <w:sz w:val="20"/>
                <w:szCs w:val="20"/>
              </w:rPr>
              <w:t>0 June</w:t>
            </w:r>
            <w:r w:rsidRPr="00DB651E">
              <w:rPr>
                <w:rFonts w:ascii="Arial" w:hAnsi="Arial" w:cs="Arial"/>
                <w:color w:val="000080"/>
                <w:sz w:val="20"/>
                <w:szCs w:val="20"/>
              </w:rPr>
              <w:t xml:space="preserve"> 20</w:t>
            </w:r>
            <w:r>
              <w:rPr>
                <w:rFonts w:ascii="Arial" w:hAnsi="Arial" w:cs="Arial"/>
                <w:color w:val="000080"/>
                <w:sz w:val="20"/>
                <w:szCs w:val="20"/>
              </w:rPr>
              <w:t>19</w:t>
            </w:r>
            <w:r w:rsidRPr="00DB651E">
              <w:rPr>
                <w:rFonts w:ascii="Arial" w:hAnsi="Arial" w:cs="Arial"/>
                <w:color w:val="000080"/>
                <w:sz w:val="20"/>
                <w:szCs w:val="20"/>
              </w:rPr>
              <w:t xml:space="preserve">, on </w:t>
            </w:r>
            <w:r w:rsidR="00BE5FF7">
              <w:rPr>
                <w:rFonts w:ascii="Arial" w:hAnsi="Arial" w:cs="Arial"/>
                <w:color w:val="000080"/>
                <w:sz w:val="20"/>
                <w:szCs w:val="20"/>
              </w:rPr>
              <w:t>P</w:t>
            </w:r>
            <w:r w:rsidRPr="00DB651E">
              <w:rPr>
                <w:rFonts w:ascii="Arial" w:hAnsi="Arial" w:cs="Arial"/>
                <w:color w:val="000080"/>
                <w:sz w:val="20"/>
                <w:szCs w:val="20"/>
              </w:rPr>
              <w:t xml:space="preserve">ersistent </w:t>
            </w:r>
            <w:r w:rsidR="00BE5FF7">
              <w:rPr>
                <w:rFonts w:ascii="Arial" w:hAnsi="Arial" w:cs="Arial"/>
                <w:color w:val="000080"/>
                <w:sz w:val="20"/>
                <w:szCs w:val="20"/>
              </w:rPr>
              <w:t>O</w:t>
            </w:r>
            <w:r w:rsidRPr="00DB651E">
              <w:rPr>
                <w:rFonts w:ascii="Arial" w:hAnsi="Arial" w:cs="Arial"/>
                <w:color w:val="000080"/>
                <w:sz w:val="20"/>
                <w:szCs w:val="20"/>
              </w:rPr>
              <w:t xml:space="preserve">rganic </w:t>
            </w:r>
            <w:r w:rsidR="00BE5FF7">
              <w:rPr>
                <w:rFonts w:ascii="Arial" w:hAnsi="Arial" w:cs="Arial"/>
                <w:color w:val="000080"/>
                <w:sz w:val="20"/>
                <w:szCs w:val="20"/>
              </w:rPr>
              <w:t>P</w:t>
            </w:r>
            <w:r w:rsidRPr="00DB651E">
              <w:rPr>
                <w:rFonts w:ascii="Arial" w:hAnsi="Arial" w:cs="Arial"/>
                <w:color w:val="000080"/>
                <w:sz w:val="20"/>
                <w:szCs w:val="20"/>
              </w:rPr>
              <w:t>ollutants</w:t>
            </w:r>
            <w:r>
              <w:rPr>
                <w:rFonts w:ascii="Arial" w:hAnsi="Arial" w:cs="Arial"/>
                <w:color w:val="000080"/>
                <w:sz w:val="20"/>
                <w:szCs w:val="20"/>
              </w:rPr>
              <w:t xml:space="preserve"> (recast). </w:t>
            </w:r>
            <w:r w:rsidRPr="00DB651E">
              <w:rPr>
                <w:rFonts w:ascii="Arial" w:hAnsi="Arial" w:cs="Arial"/>
                <w:color w:val="000080"/>
                <w:sz w:val="20"/>
                <w:szCs w:val="20"/>
              </w:rPr>
              <w:t xml:space="preserve">The initiative is partly in an area of shared competence, but its necessity and its EU-added value </w:t>
            </w:r>
            <w:r w:rsidRPr="00DB651E" w:rsidR="00BE5FF7">
              <w:rPr>
                <w:rFonts w:ascii="Arial" w:hAnsi="Arial" w:cs="Arial"/>
                <w:color w:val="000080"/>
                <w:sz w:val="20"/>
                <w:szCs w:val="20"/>
              </w:rPr>
              <w:t>ha</w:t>
            </w:r>
            <w:r w:rsidR="00BE5FF7">
              <w:rPr>
                <w:rFonts w:ascii="Arial" w:hAnsi="Arial" w:cs="Arial"/>
                <w:color w:val="000080"/>
                <w:sz w:val="20"/>
                <w:szCs w:val="20"/>
              </w:rPr>
              <w:t>ve</w:t>
            </w:r>
            <w:r w:rsidRPr="00DB651E" w:rsidR="00BE5FF7">
              <w:rPr>
                <w:rFonts w:ascii="Arial" w:hAnsi="Arial" w:cs="Arial"/>
                <w:color w:val="000080"/>
                <w:sz w:val="20"/>
                <w:szCs w:val="20"/>
              </w:rPr>
              <w:t xml:space="preserve"> </w:t>
            </w:r>
            <w:r w:rsidRPr="00DB651E">
              <w:rPr>
                <w:rFonts w:ascii="Arial" w:hAnsi="Arial" w:cs="Arial"/>
                <w:color w:val="000080"/>
                <w:sz w:val="20"/>
                <w:szCs w:val="20"/>
              </w:rPr>
              <w:t>been clearly recognised throughout the years and with the subsequent amendments of the Annexes</w:t>
            </w:r>
            <w:r>
              <w:rPr>
                <w:rFonts w:ascii="Arial" w:hAnsi="Arial" w:cs="Arial"/>
                <w:color w:val="000080"/>
                <w:sz w:val="20"/>
                <w:szCs w:val="20"/>
              </w:rPr>
              <w:t xml:space="preserve"> of its predecessor, </w:t>
            </w:r>
            <w:r w:rsidR="004A0EDD">
              <w:rPr>
                <w:rFonts w:ascii="Arial" w:hAnsi="Arial" w:cs="Arial"/>
                <w:color w:val="000080"/>
                <w:sz w:val="20"/>
                <w:szCs w:val="20"/>
              </w:rPr>
              <w:t>R</w:t>
            </w:r>
            <w:r>
              <w:rPr>
                <w:rFonts w:ascii="Arial" w:hAnsi="Arial" w:cs="Arial"/>
                <w:color w:val="000080"/>
                <w:sz w:val="20"/>
                <w:szCs w:val="20"/>
              </w:rPr>
              <w:t>egulation (EC) No. 850/2004</w:t>
            </w:r>
            <w:r w:rsidRPr="00DB651E">
              <w:rPr>
                <w:rFonts w:ascii="Arial" w:hAnsi="Arial" w:cs="Arial"/>
                <w:color w:val="000080"/>
                <w:sz w:val="20"/>
                <w:szCs w:val="20"/>
              </w:rPr>
              <w:t xml:space="preserve">. Pollution by POPs cannot be solved by the Member States acting alone. The chemical substances considered are transported across internal EU boundaries far from their sources. Avoiding releases from waste is a priority in this respect. The protection of the environment and of human health through a system that guarantees the sound management of POP waste can only be efficient if common rules are defined and established at the EU level. If national regulations were in place, cross-border effects could appear such as </w:t>
            </w:r>
            <w:r w:rsidR="00F003AD">
              <w:rPr>
                <w:rFonts w:ascii="Arial" w:hAnsi="Arial" w:cs="Arial"/>
                <w:color w:val="000080"/>
                <w:sz w:val="20"/>
                <w:szCs w:val="20"/>
              </w:rPr>
              <w:t>i</w:t>
            </w:r>
            <w:r w:rsidRPr="00DB651E">
              <w:rPr>
                <w:rFonts w:ascii="Arial" w:hAnsi="Arial" w:cs="Arial"/>
                <w:color w:val="000080"/>
                <w:sz w:val="20"/>
                <w:szCs w:val="20"/>
              </w:rPr>
              <w:t>mbalances in the level of treatment of POP waste</w:t>
            </w:r>
            <w:r w:rsidR="008F7986">
              <w:rPr>
                <w:rFonts w:ascii="Arial" w:hAnsi="Arial" w:cs="Arial"/>
                <w:color w:val="000080"/>
                <w:sz w:val="20"/>
                <w:szCs w:val="20"/>
              </w:rPr>
              <w:t xml:space="preserve"> and there would be a risk of fragmentation of the Internal Market for the associated waste and recovered materials that should be avoided</w:t>
            </w:r>
            <w:r w:rsidRPr="00DB651E">
              <w:rPr>
                <w:rFonts w:ascii="Arial" w:hAnsi="Arial" w:cs="Arial"/>
                <w:color w:val="000080"/>
                <w:sz w:val="20"/>
                <w:szCs w:val="20"/>
              </w:rPr>
              <w:t xml:space="preserve">. </w:t>
            </w:r>
          </w:p>
        </w:tc>
      </w:tr>
      <w:tr w:rsidTr="00203E25">
        <w:tblPrEx>
          <w:tblW w:w="10314" w:type="dxa"/>
          <w:tblLook w:val="01E0"/>
        </w:tblPrEx>
        <w:tc>
          <w:tcPr>
            <w:tcW w:w="10314" w:type="dxa"/>
            <w:tcBorders>
              <w:bottom w:val="single" w:sz="4" w:space="0" w:color="auto"/>
            </w:tcBorders>
            <w:shd w:val="clear" w:color="auto" w:fill="0000FF"/>
          </w:tcPr>
          <w:p w:rsidR="00D05940" w:rsidRPr="00824525" w:rsidP="00AF4469">
            <w:pPr>
              <w:spacing w:before="120" w:after="60"/>
              <w:jc w:val="both"/>
              <w:rPr>
                <w:rFonts w:ascii="Arial" w:hAnsi="Arial" w:cs="Arial"/>
                <w:b/>
                <w:sz w:val="22"/>
                <w:szCs w:val="22"/>
              </w:rPr>
            </w:pPr>
            <w:r>
              <w:rPr>
                <w:rFonts w:ascii="Arial" w:hAnsi="Arial" w:cs="Arial"/>
                <w:b/>
                <w:sz w:val="22"/>
                <w:szCs w:val="22"/>
              </w:rPr>
              <w:t>B</w:t>
            </w:r>
            <w:r w:rsidRPr="00824525">
              <w:rPr>
                <w:rFonts w:ascii="Arial" w:hAnsi="Arial" w:cs="Arial"/>
                <w:b/>
                <w:sz w:val="22"/>
                <w:szCs w:val="22"/>
              </w:rPr>
              <w:t xml:space="preserve">. </w:t>
            </w:r>
            <w:r>
              <w:rPr>
                <w:rFonts w:ascii="Arial" w:hAnsi="Arial" w:cs="Arial"/>
                <w:b/>
                <w:sz w:val="22"/>
                <w:szCs w:val="22"/>
              </w:rPr>
              <w:t xml:space="preserve">Objectives and Policy options </w:t>
            </w:r>
            <w:r w:rsidRPr="00824525">
              <w:rPr>
                <w:rFonts w:ascii="Arial" w:hAnsi="Arial" w:cs="Arial"/>
                <w:b/>
                <w:sz w:val="22"/>
                <w:szCs w:val="22"/>
              </w:rPr>
              <w:t xml:space="preserve">      </w:t>
            </w:r>
          </w:p>
        </w:tc>
      </w:tr>
      <w:tr w:rsidTr="0076527E">
        <w:tblPrEx>
          <w:tblW w:w="10314" w:type="dxa"/>
          <w:tblLook w:val="01E0"/>
        </w:tblPrEx>
        <w:tc>
          <w:tcPr>
            <w:tcW w:w="10314" w:type="dxa"/>
            <w:tcBorders>
              <w:bottom w:val="single" w:sz="4" w:space="0" w:color="auto"/>
            </w:tcBorders>
            <w:shd w:val="clear" w:color="auto" w:fill="auto"/>
          </w:tcPr>
          <w:p w:rsidR="0076527E" w:rsidRPr="0076527E" w:rsidP="0076527E">
            <w:pPr>
              <w:spacing w:before="60" w:after="60"/>
              <w:jc w:val="both"/>
              <w:rPr>
                <w:rFonts w:ascii="Arial" w:hAnsi="Arial" w:cs="Arial"/>
                <w:color w:val="000080"/>
                <w:sz w:val="20"/>
                <w:szCs w:val="20"/>
              </w:rPr>
            </w:pPr>
            <w:r w:rsidRPr="0076527E">
              <w:rPr>
                <w:rFonts w:ascii="Arial" w:hAnsi="Arial" w:cs="Arial"/>
                <w:color w:val="000080"/>
                <w:sz w:val="20"/>
                <w:szCs w:val="20"/>
              </w:rPr>
              <w:t xml:space="preserve">The POPs Regulation already provides general rules concerning limit values for POP substances in waste. Article 7 of the POPs Regulation provides that concentration limits are to be established for </w:t>
            </w:r>
            <w:r w:rsidR="00F003AD">
              <w:rPr>
                <w:rFonts w:ascii="Arial" w:hAnsi="Arial" w:cs="Arial"/>
                <w:color w:val="000080"/>
                <w:sz w:val="20"/>
                <w:szCs w:val="20"/>
              </w:rPr>
              <w:t xml:space="preserve">these </w:t>
            </w:r>
            <w:r w:rsidRPr="0076527E">
              <w:rPr>
                <w:rFonts w:ascii="Arial" w:hAnsi="Arial" w:cs="Arial"/>
                <w:color w:val="000080"/>
                <w:sz w:val="20"/>
                <w:szCs w:val="20"/>
              </w:rPr>
              <w:t xml:space="preserve">substances in waste. Therefore, the possibility that POP substances, below certain concentration limits, can be introduced into products via recycled materials, is already envisaged in the basic act, as well as in the Stockholm </w:t>
            </w:r>
            <w:r w:rsidR="00EB332C">
              <w:rPr>
                <w:rFonts w:ascii="Arial" w:hAnsi="Arial" w:cs="Arial"/>
                <w:color w:val="000080"/>
                <w:sz w:val="20"/>
                <w:szCs w:val="20"/>
              </w:rPr>
              <w:t>C</w:t>
            </w:r>
            <w:r w:rsidRPr="0076527E">
              <w:rPr>
                <w:rFonts w:ascii="Arial" w:hAnsi="Arial" w:cs="Arial"/>
                <w:color w:val="000080"/>
                <w:sz w:val="20"/>
                <w:szCs w:val="20"/>
              </w:rPr>
              <w:t>onvention</w:t>
            </w:r>
            <w:r>
              <w:rPr>
                <w:rFonts w:ascii="Arial" w:hAnsi="Arial" w:cs="Arial"/>
                <w:color w:val="000080"/>
                <w:sz w:val="20"/>
                <w:szCs w:val="20"/>
              </w:rPr>
              <w:t>.</w:t>
            </w:r>
            <w:r w:rsidRPr="0076527E">
              <w:rPr>
                <w:rFonts w:ascii="Arial" w:hAnsi="Arial" w:cs="Arial"/>
                <w:color w:val="000080"/>
                <w:sz w:val="20"/>
                <w:szCs w:val="20"/>
              </w:rPr>
              <w:t xml:space="preserve"> </w:t>
            </w:r>
            <w:r>
              <w:rPr>
                <w:rFonts w:ascii="Arial" w:hAnsi="Arial" w:cs="Arial"/>
                <w:color w:val="000080"/>
                <w:sz w:val="20"/>
                <w:szCs w:val="20"/>
              </w:rPr>
              <w:t xml:space="preserve">The substances to be addressed in Annex IV and V updates result from international agreements in the context of this </w:t>
            </w:r>
            <w:r w:rsidR="00EB332C">
              <w:rPr>
                <w:rFonts w:ascii="Arial" w:hAnsi="Arial" w:cs="Arial"/>
                <w:color w:val="000080"/>
                <w:sz w:val="20"/>
                <w:szCs w:val="20"/>
              </w:rPr>
              <w:t>C</w:t>
            </w:r>
            <w:r>
              <w:rPr>
                <w:rFonts w:ascii="Arial" w:hAnsi="Arial" w:cs="Arial"/>
                <w:color w:val="000080"/>
                <w:sz w:val="20"/>
                <w:szCs w:val="20"/>
              </w:rPr>
              <w:t>onvention.</w:t>
            </w:r>
          </w:p>
          <w:p w:rsidR="00D05940" w:rsidP="0076527E">
            <w:pPr>
              <w:spacing w:before="60" w:after="60"/>
              <w:jc w:val="both"/>
              <w:rPr>
                <w:rFonts w:ascii="Arial" w:hAnsi="Arial" w:cs="Arial"/>
                <w:color w:val="000080"/>
                <w:sz w:val="20"/>
                <w:szCs w:val="20"/>
              </w:rPr>
            </w:pPr>
            <w:r>
              <w:rPr>
                <w:rFonts w:ascii="Arial" w:hAnsi="Arial" w:cs="Arial"/>
                <w:color w:val="000080"/>
                <w:sz w:val="20"/>
                <w:szCs w:val="20"/>
              </w:rPr>
              <w:t>Given the existing provisions under the Stockholm Convention and under the POPs Regulation, t</w:t>
            </w:r>
            <w:r w:rsidR="00F003AD">
              <w:rPr>
                <w:rFonts w:ascii="Arial" w:hAnsi="Arial" w:cs="Arial"/>
                <w:color w:val="000080"/>
                <w:sz w:val="20"/>
                <w:szCs w:val="20"/>
              </w:rPr>
              <w:t>he</w:t>
            </w:r>
            <w:r w:rsidR="0076527E">
              <w:rPr>
                <w:rFonts w:ascii="Arial" w:hAnsi="Arial" w:cs="Arial"/>
                <w:color w:val="000080"/>
                <w:sz w:val="20"/>
                <w:szCs w:val="20"/>
              </w:rPr>
              <w:t xml:space="preserve"> Commission has no discretion regarding the choice of instrument or the substances to address</w:t>
            </w:r>
            <w:r w:rsidR="00B6155B">
              <w:rPr>
                <w:rFonts w:ascii="Arial" w:hAnsi="Arial" w:cs="Arial"/>
                <w:color w:val="000080"/>
                <w:sz w:val="20"/>
                <w:szCs w:val="20"/>
              </w:rPr>
              <w:t>. C</w:t>
            </w:r>
            <w:r w:rsidR="00C44188">
              <w:rPr>
                <w:rFonts w:ascii="Arial" w:hAnsi="Arial" w:cs="Arial"/>
                <w:color w:val="000080"/>
                <w:sz w:val="20"/>
                <w:szCs w:val="20"/>
              </w:rPr>
              <w:t>onsequently</w:t>
            </w:r>
            <w:r w:rsidR="00EB332C">
              <w:rPr>
                <w:rFonts w:ascii="Arial" w:hAnsi="Arial" w:cs="Arial"/>
                <w:color w:val="000080"/>
                <w:sz w:val="20"/>
                <w:szCs w:val="20"/>
              </w:rPr>
              <w:t>,</w:t>
            </w:r>
            <w:r w:rsidR="00C44188">
              <w:rPr>
                <w:rFonts w:ascii="Arial" w:hAnsi="Arial" w:cs="Arial"/>
                <w:color w:val="000080"/>
                <w:sz w:val="20"/>
                <w:szCs w:val="20"/>
              </w:rPr>
              <w:t xml:space="preserve"> </w:t>
            </w:r>
            <w:r w:rsidR="0076527E">
              <w:rPr>
                <w:rFonts w:ascii="Arial" w:hAnsi="Arial" w:cs="Arial"/>
                <w:color w:val="000080"/>
                <w:sz w:val="20"/>
                <w:szCs w:val="20"/>
              </w:rPr>
              <w:t xml:space="preserve">the policy options to be considered in the </w:t>
            </w:r>
            <w:r w:rsidRPr="0076527E" w:rsidR="0076527E">
              <w:rPr>
                <w:rFonts w:ascii="Arial" w:hAnsi="Arial" w:cs="Arial"/>
                <w:color w:val="000080"/>
                <w:sz w:val="20"/>
                <w:szCs w:val="20"/>
              </w:rPr>
              <w:t xml:space="preserve">impact assessment </w:t>
            </w:r>
            <w:r w:rsidR="0076527E">
              <w:rPr>
                <w:rFonts w:ascii="Arial" w:hAnsi="Arial" w:cs="Arial"/>
                <w:color w:val="000080"/>
                <w:sz w:val="20"/>
                <w:szCs w:val="20"/>
              </w:rPr>
              <w:t xml:space="preserve">to support the measure </w:t>
            </w:r>
            <w:r w:rsidRPr="0076527E" w:rsidR="0076527E">
              <w:rPr>
                <w:rFonts w:ascii="Arial" w:hAnsi="Arial" w:cs="Arial"/>
                <w:color w:val="000080"/>
                <w:sz w:val="20"/>
                <w:szCs w:val="20"/>
              </w:rPr>
              <w:t xml:space="preserve">are </w:t>
            </w:r>
            <w:r w:rsidR="00B6155B">
              <w:rPr>
                <w:rFonts w:ascii="Arial" w:hAnsi="Arial" w:cs="Arial"/>
                <w:color w:val="000080"/>
                <w:sz w:val="20"/>
                <w:szCs w:val="20"/>
              </w:rPr>
              <w:t>almost exclusively linked</w:t>
            </w:r>
            <w:r w:rsidRPr="0076527E" w:rsidR="0076527E">
              <w:rPr>
                <w:rFonts w:ascii="Arial" w:hAnsi="Arial" w:cs="Arial"/>
                <w:color w:val="000080"/>
                <w:sz w:val="20"/>
                <w:szCs w:val="20"/>
              </w:rPr>
              <w:t xml:space="preserve"> to the precise limit values to be proposed for each of the substances</w:t>
            </w:r>
            <w:r>
              <w:rPr>
                <w:rFonts w:ascii="Arial" w:hAnsi="Arial" w:cs="Arial"/>
                <w:color w:val="000080"/>
                <w:sz w:val="20"/>
                <w:szCs w:val="20"/>
              </w:rPr>
              <w:t xml:space="preserve"> and, potentially </w:t>
            </w:r>
            <w:r w:rsidR="00E124A8">
              <w:rPr>
                <w:rFonts w:ascii="Arial" w:hAnsi="Arial" w:cs="Arial"/>
                <w:color w:val="000080"/>
                <w:sz w:val="20"/>
                <w:szCs w:val="20"/>
              </w:rPr>
              <w:t xml:space="preserve">to </w:t>
            </w:r>
            <w:r>
              <w:rPr>
                <w:rFonts w:ascii="Arial" w:hAnsi="Arial" w:cs="Arial"/>
                <w:color w:val="000080"/>
                <w:sz w:val="20"/>
                <w:szCs w:val="20"/>
              </w:rPr>
              <w:t>timeline related aspects such as transitional periods</w:t>
            </w:r>
            <w:r w:rsidRPr="0076527E" w:rsidR="0076527E">
              <w:rPr>
                <w:rFonts w:ascii="Arial" w:hAnsi="Arial" w:cs="Arial"/>
                <w:color w:val="000080"/>
                <w:sz w:val="20"/>
                <w:szCs w:val="20"/>
              </w:rPr>
              <w:t xml:space="preserve">. </w:t>
            </w:r>
            <w:r w:rsidR="00B6155B">
              <w:rPr>
                <w:rFonts w:ascii="Arial" w:hAnsi="Arial" w:cs="Arial"/>
                <w:color w:val="000080"/>
                <w:sz w:val="20"/>
                <w:szCs w:val="20"/>
              </w:rPr>
              <w:t>For the purpose of the impact assessment</w:t>
            </w:r>
            <w:r w:rsidR="00EB332C">
              <w:rPr>
                <w:rFonts w:ascii="Arial" w:hAnsi="Arial" w:cs="Arial"/>
                <w:color w:val="000080"/>
                <w:sz w:val="20"/>
                <w:szCs w:val="20"/>
              </w:rPr>
              <w:t>,</w:t>
            </w:r>
            <w:r w:rsidR="00B6155B">
              <w:rPr>
                <w:rFonts w:ascii="Arial" w:hAnsi="Arial" w:cs="Arial"/>
                <w:color w:val="000080"/>
                <w:sz w:val="20"/>
                <w:szCs w:val="20"/>
              </w:rPr>
              <w:t xml:space="preserve"> </w:t>
            </w:r>
            <w:r w:rsidRPr="0076527E" w:rsidR="0076527E">
              <w:rPr>
                <w:rFonts w:ascii="Arial" w:hAnsi="Arial" w:cs="Arial"/>
                <w:color w:val="000080"/>
                <w:sz w:val="20"/>
                <w:szCs w:val="20"/>
              </w:rPr>
              <w:t>values will be selected from within a range of values, obtained from technical studies</w:t>
            </w:r>
            <w:r w:rsidR="0076527E">
              <w:rPr>
                <w:rFonts w:ascii="Arial" w:hAnsi="Arial" w:cs="Arial"/>
                <w:color w:val="000080"/>
                <w:sz w:val="20"/>
                <w:szCs w:val="20"/>
              </w:rPr>
              <w:t xml:space="preserve"> </w:t>
            </w:r>
            <w:r w:rsidR="00C778C0">
              <w:rPr>
                <w:rFonts w:ascii="Arial" w:hAnsi="Arial" w:cs="Arial"/>
                <w:color w:val="000080"/>
                <w:sz w:val="20"/>
                <w:szCs w:val="20"/>
              </w:rPr>
              <w:t>published i</w:t>
            </w:r>
            <w:r w:rsidR="00E857AE">
              <w:rPr>
                <w:rFonts w:ascii="Arial" w:hAnsi="Arial" w:cs="Arial"/>
                <w:color w:val="000080"/>
                <w:sz w:val="20"/>
                <w:szCs w:val="20"/>
              </w:rPr>
              <w:t>n</w:t>
            </w:r>
            <w:r w:rsidR="00B70A6A">
              <w:rPr>
                <w:rFonts w:ascii="Arial" w:hAnsi="Arial" w:cs="Arial"/>
                <w:color w:val="000080"/>
                <w:sz w:val="20"/>
                <w:szCs w:val="20"/>
              </w:rPr>
              <w:t xml:space="preserve"> </w:t>
            </w:r>
            <w:r>
              <w:fldChar w:fldCharType="begin"/>
            </w:r>
            <w:r>
              <w:instrText xml:space="preserve"> HYPERLINK "https://ec.europa.eu/environment/waste/studies/pdf/pops_waste_full_report.pdf" </w:instrText>
            </w:r>
            <w:r>
              <w:fldChar w:fldCharType="separate"/>
            </w:r>
            <w:r w:rsidRPr="00E857AE" w:rsidR="00B70A6A">
              <w:rPr>
                <w:rStyle w:val="Hyperlink"/>
                <w:rFonts w:ascii="Arial" w:hAnsi="Arial" w:cs="Arial"/>
                <w:sz w:val="20"/>
                <w:szCs w:val="20"/>
              </w:rPr>
              <w:t>20</w:t>
            </w:r>
            <w:r w:rsidR="00B70A6A">
              <w:rPr>
                <w:rStyle w:val="Hyperlink"/>
                <w:rFonts w:ascii="Arial" w:hAnsi="Arial" w:cs="Arial"/>
                <w:sz w:val="20"/>
                <w:szCs w:val="20"/>
              </w:rPr>
              <w:t>0</w:t>
            </w:r>
            <w:r>
              <w:fldChar w:fldCharType="end"/>
            </w:r>
            <w:r w:rsidR="00C778C0">
              <w:rPr>
                <w:rStyle w:val="Hyperlink"/>
                <w:rFonts w:ascii="Arial" w:hAnsi="Arial" w:cs="Arial"/>
                <w:sz w:val="20"/>
                <w:szCs w:val="20"/>
              </w:rPr>
              <w:t>5</w:t>
            </w:r>
            <w:r w:rsidR="00E857AE">
              <w:rPr>
                <w:rFonts w:ascii="Arial" w:hAnsi="Arial" w:cs="Arial"/>
                <w:color w:val="000080"/>
                <w:sz w:val="20"/>
                <w:szCs w:val="20"/>
              </w:rPr>
              <w:t xml:space="preserve">, </w:t>
            </w:r>
            <w:r>
              <w:fldChar w:fldCharType="begin"/>
            </w:r>
            <w:r>
              <w:instrText xml:space="preserve"> HYPERLINK "http://ec.europa.eu/environment/waste/studies/pdf/POP_Waste_2010.pdf" </w:instrText>
            </w:r>
            <w:r>
              <w:fldChar w:fldCharType="separate"/>
            </w:r>
            <w:r w:rsidRPr="00E857AE" w:rsidR="00E857AE">
              <w:rPr>
                <w:rStyle w:val="Hyperlink"/>
                <w:rFonts w:ascii="Arial" w:hAnsi="Arial" w:cs="Arial"/>
                <w:sz w:val="20"/>
                <w:szCs w:val="20"/>
              </w:rPr>
              <w:t>201</w:t>
            </w:r>
            <w:r>
              <w:fldChar w:fldCharType="end"/>
            </w:r>
            <w:r w:rsidR="00C778C0">
              <w:rPr>
                <w:rStyle w:val="Hyperlink"/>
                <w:rFonts w:ascii="Arial" w:hAnsi="Arial" w:cs="Arial"/>
                <w:sz w:val="20"/>
                <w:szCs w:val="20"/>
              </w:rPr>
              <w:t>1</w:t>
            </w:r>
            <w:r w:rsidR="00E857AE">
              <w:rPr>
                <w:rFonts w:ascii="Arial" w:hAnsi="Arial" w:cs="Arial"/>
                <w:color w:val="000080"/>
                <w:sz w:val="20"/>
                <w:szCs w:val="20"/>
              </w:rPr>
              <w:t xml:space="preserve"> and </w:t>
            </w:r>
            <w:r>
              <w:fldChar w:fldCharType="begin"/>
            </w:r>
            <w:r>
              <w:instrText xml:space="preserve"> HYPERLINK "http://ec.europa.eu/environment/waste/pdf/Study_POPS_Waste_final.pdf" </w:instrText>
            </w:r>
            <w:r>
              <w:fldChar w:fldCharType="separate"/>
            </w:r>
            <w:r w:rsidRPr="00E857AE" w:rsidR="00B70A6A">
              <w:rPr>
                <w:rStyle w:val="Hyperlink"/>
                <w:rFonts w:ascii="Arial" w:hAnsi="Arial" w:cs="Arial"/>
                <w:sz w:val="20"/>
                <w:szCs w:val="20"/>
              </w:rPr>
              <w:t>20</w:t>
            </w:r>
            <w:r w:rsidR="00B70A6A">
              <w:rPr>
                <w:rStyle w:val="Hyperlink"/>
                <w:rFonts w:ascii="Arial" w:hAnsi="Arial" w:cs="Arial"/>
                <w:sz w:val="20"/>
                <w:szCs w:val="20"/>
              </w:rPr>
              <w:t>1</w:t>
            </w:r>
            <w:r>
              <w:fldChar w:fldCharType="end"/>
            </w:r>
            <w:r w:rsidR="00C778C0">
              <w:rPr>
                <w:rStyle w:val="Hyperlink"/>
                <w:rFonts w:ascii="Arial" w:hAnsi="Arial" w:cs="Arial"/>
                <w:sz w:val="20"/>
                <w:szCs w:val="20"/>
              </w:rPr>
              <w:t>9</w:t>
            </w:r>
            <w:r w:rsidRPr="0076527E" w:rsidR="0076527E">
              <w:rPr>
                <w:rFonts w:ascii="Arial" w:hAnsi="Arial" w:cs="Arial"/>
                <w:color w:val="000080"/>
                <w:sz w:val="20"/>
                <w:szCs w:val="20"/>
              </w:rPr>
              <w:t xml:space="preserve">, </w:t>
            </w:r>
            <w:r w:rsidR="00C44188">
              <w:rPr>
                <w:rFonts w:ascii="Arial" w:hAnsi="Arial" w:cs="Arial"/>
                <w:color w:val="000080"/>
                <w:sz w:val="20"/>
                <w:szCs w:val="20"/>
              </w:rPr>
              <w:t xml:space="preserve">existing </w:t>
            </w:r>
            <w:r w:rsidR="000C62C2">
              <w:rPr>
                <w:rFonts w:ascii="Arial" w:hAnsi="Arial" w:cs="Arial"/>
                <w:color w:val="000080"/>
                <w:sz w:val="20"/>
                <w:szCs w:val="20"/>
              </w:rPr>
              <w:t>and provisional</w:t>
            </w:r>
            <w:r w:rsidR="00B6155B">
              <w:rPr>
                <w:rFonts w:ascii="Arial" w:hAnsi="Arial" w:cs="Arial"/>
                <w:color w:val="000080"/>
                <w:sz w:val="20"/>
                <w:szCs w:val="20"/>
              </w:rPr>
              <w:t xml:space="preserve">/proposed </w:t>
            </w:r>
            <w:r w:rsidR="00C44188">
              <w:rPr>
                <w:rFonts w:ascii="Arial" w:hAnsi="Arial" w:cs="Arial"/>
                <w:color w:val="000080"/>
                <w:sz w:val="20"/>
                <w:szCs w:val="20"/>
              </w:rPr>
              <w:t xml:space="preserve">values </w:t>
            </w:r>
            <w:r w:rsidR="00B6155B">
              <w:rPr>
                <w:rFonts w:ascii="Arial" w:hAnsi="Arial" w:cs="Arial"/>
                <w:color w:val="000080"/>
                <w:sz w:val="20"/>
                <w:szCs w:val="20"/>
              </w:rPr>
              <w:t xml:space="preserve">in legislation and </w:t>
            </w:r>
            <w:r>
              <w:fldChar w:fldCharType="begin"/>
            </w:r>
            <w:r>
              <w:instrText xml:space="preserve"> HYPERLINK "http://www.basel.int/Implementation/POPsWastes/TechnicalGuidelines/tabid/5052/Default.aspx" </w:instrText>
            </w:r>
            <w:r>
              <w:fldChar w:fldCharType="separate"/>
            </w:r>
            <w:r w:rsidRPr="00E857AE" w:rsidR="00B6155B">
              <w:rPr>
                <w:rStyle w:val="Hyperlink"/>
                <w:rFonts w:ascii="Arial" w:hAnsi="Arial" w:cs="Arial"/>
                <w:sz w:val="20"/>
                <w:szCs w:val="20"/>
              </w:rPr>
              <w:t>guidelines</w:t>
            </w:r>
            <w:r>
              <w:fldChar w:fldCharType="end"/>
            </w:r>
            <w:r w:rsidR="00B6155B">
              <w:rPr>
                <w:rFonts w:ascii="Arial" w:hAnsi="Arial" w:cs="Arial"/>
                <w:color w:val="000080"/>
                <w:sz w:val="20"/>
                <w:szCs w:val="20"/>
              </w:rPr>
              <w:t xml:space="preserve"> </w:t>
            </w:r>
            <w:r w:rsidRPr="0076527E" w:rsidR="0076527E">
              <w:rPr>
                <w:rFonts w:ascii="Arial" w:hAnsi="Arial" w:cs="Arial"/>
                <w:color w:val="000080"/>
                <w:sz w:val="20"/>
                <w:szCs w:val="20"/>
              </w:rPr>
              <w:t xml:space="preserve">and taking into consideration additional socio-economic elements from a study that is currently </w:t>
            </w:r>
            <w:r w:rsidR="0076527E">
              <w:rPr>
                <w:rFonts w:ascii="Arial" w:hAnsi="Arial" w:cs="Arial"/>
                <w:color w:val="000080"/>
                <w:sz w:val="20"/>
                <w:szCs w:val="20"/>
              </w:rPr>
              <w:t>in preparation to support the impact assessment of the proposed measure</w:t>
            </w:r>
            <w:r w:rsidRPr="0076527E" w:rsidR="0076527E">
              <w:rPr>
                <w:rFonts w:ascii="Arial" w:hAnsi="Arial" w:cs="Arial"/>
                <w:color w:val="000080"/>
                <w:sz w:val="20"/>
                <w:szCs w:val="20"/>
              </w:rPr>
              <w:t>. For each substance and associated relevant waste stream</w:t>
            </w:r>
            <w:r w:rsidR="0076527E">
              <w:rPr>
                <w:rFonts w:ascii="Arial" w:hAnsi="Arial" w:cs="Arial"/>
                <w:color w:val="000080"/>
                <w:sz w:val="20"/>
                <w:szCs w:val="20"/>
              </w:rPr>
              <w:t>s</w:t>
            </w:r>
            <w:r w:rsidRPr="0076527E" w:rsidR="0076527E">
              <w:rPr>
                <w:rFonts w:ascii="Arial" w:hAnsi="Arial" w:cs="Arial"/>
                <w:color w:val="000080"/>
                <w:sz w:val="20"/>
                <w:szCs w:val="20"/>
              </w:rPr>
              <w:t xml:space="preserve"> containing it, the value</w:t>
            </w:r>
            <w:r w:rsidR="0076527E">
              <w:rPr>
                <w:rFonts w:ascii="Arial" w:hAnsi="Arial" w:cs="Arial"/>
                <w:color w:val="000080"/>
                <w:sz w:val="20"/>
                <w:szCs w:val="20"/>
              </w:rPr>
              <w:t>s</w:t>
            </w:r>
            <w:r w:rsidRPr="0076527E" w:rsidR="0076527E">
              <w:rPr>
                <w:rFonts w:ascii="Arial" w:hAnsi="Arial" w:cs="Arial"/>
                <w:color w:val="000080"/>
                <w:sz w:val="20"/>
                <w:szCs w:val="20"/>
              </w:rPr>
              <w:t xml:space="preserve"> chosen will determine the amount of waste that has to be destroyed (generally by incineration) versus the amount that would potentially be available for recycling.</w:t>
            </w:r>
          </w:p>
          <w:p w:rsidR="00C44188" w:rsidP="0076527E">
            <w:pPr>
              <w:spacing w:before="60" w:after="60"/>
              <w:jc w:val="both"/>
              <w:rPr>
                <w:rFonts w:ascii="Arial" w:hAnsi="Arial" w:cs="Arial"/>
                <w:color w:val="000080"/>
                <w:sz w:val="20"/>
                <w:szCs w:val="20"/>
              </w:rPr>
            </w:pPr>
            <w:r>
              <w:rPr>
                <w:rFonts w:ascii="Arial" w:hAnsi="Arial" w:cs="Arial"/>
                <w:color w:val="000080"/>
                <w:sz w:val="20"/>
                <w:szCs w:val="20"/>
              </w:rPr>
              <w:t>The substances hexachlorobutadiene (HCBD) and dicofol</w:t>
            </w:r>
            <w:r w:rsidR="00306098">
              <w:rPr>
                <w:rFonts w:ascii="Arial" w:hAnsi="Arial" w:cs="Arial"/>
                <w:color w:val="000080"/>
                <w:sz w:val="20"/>
                <w:szCs w:val="20"/>
              </w:rPr>
              <w:t xml:space="preserve">, </w:t>
            </w:r>
            <w:r w:rsidR="00CE4E00">
              <w:rPr>
                <w:rFonts w:ascii="Arial" w:hAnsi="Arial" w:cs="Arial"/>
                <w:color w:val="000080"/>
                <w:sz w:val="20"/>
                <w:szCs w:val="20"/>
              </w:rPr>
              <w:t>which have since long n</w:t>
            </w:r>
            <w:r w:rsidR="00306098">
              <w:rPr>
                <w:rFonts w:ascii="Arial" w:hAnsi="Arial" w:cs="Arial"/>
                <w:color w:val="000080"/>
                <w:sz w:val="20"/>
                <w:szCs w:val="20"/>
              </w:rPr>
              <w:t>o</w:t>
            </w:r>
            <w:r w:rsidR="00CE4E00">
              <w:rPr>
                <w:rFonts w:ascii="Arial" w:hAnsi="Arial" w:cs="Arial"/>
                <w:color w:val="000080"/>
                <w:sz w:val="20"/>
                <w:szCs w:val="20"/>
              </w:rPr>
              <w:t>t</w:t>
            </w:r>
            <w:r w:rsidR="00306098">
              <w:rPr>
                <w:rFonts w:ascii="Arial" w:hAnsi="Arial" w:cs="Arial"/>
                <w:color w:val="000080"/>
                <w:sz w:val="20"/>
                <w:szCs w:val="20"/>
              </w:rPr>
              <w:t xml:space="preserve"> </w:t>
            </w:r>
            <w:r w:rsidR="00CE4E00">
              <w:rPr>
                <w:rFonts w:ascii="Arial" w:hAnsi="Arial" w:cs="Arial"/>
                <w:color w:val="000080"/>
                <w:sz w:val="20"/>
                <w:szCs w:val="20"/>
              </w:rPr>
              <w:t xml:space="preserve">been intentionally </w:t>
            </w:r>
            <w:r w:rsidR="00306098">
              <w:rPr>
                <w:rFonts w:ascii="Arial" w:hAnsi="Arial" w:cs="Arial"/>
                <w:color w:val="000080"/>
                <w:sz w:val="20"/>
                <w:szCs w:val="20"/>
              </w:rPr>
              <w:t>produced in the EU,</w:t>
            </w:r>
            <w:r>
              <w:rPr>
                <w:rFonts w:ascii="Arial" w:hAnsi="Arial" w:cs="Arial"/>
                <w:color w:val="000080"/>
                <w:sz w:val="20"/>
                <w:szCs w:val="20"/>
              </w:rPr>
              <w:t xml:space="preserve"> will not be subjected to a detailed impact assessment, nor be included in the study in support of the IA because, according to the information available from a previous </w:t>
            </w:r>
            <w:r>
              <w:fldChar w:fldCharType="begin"/>
            </w:r>
            <w:r>
              <w:instrText xml:space="preserve"> HYPERLINK "http://ec.europa.eu/environment/waste/pdf/Study_POPS_Waste_final.pdf" </w:instrText>
            </w:r>
            <w:r>
              <w:fldChar w:fldCharType="separate"/>
            </w:r>
            <w:r w:rsidRPr="00E857AE">
              <w:rPr>
                <w:rStyle w:val="Hyperlink"/>
                <w:rFonts w:ascii="Arial" w:hAnsi="Arial" w:cs="Arial"/>
                <w:sz w:val="20"/>
                <w:szCs w:val="20"/>
              </w:rPr>
              <w:t>study</w:t>
            </w:r>
            <w:r>
              <w:fldChar w:fldCharType="end"/>
            </w:r>
            <w:r>
              <w:rPr>
                <w:rFonts w:ascii="Arial" w:hAnsi="Arial" w:cs="Arial"/>
                <w:color w:val="000080"/>
                <w:sz w:val="20"/>
                <w:szCs w:val="20"/>
              </w:rPr>
              <w:t xml:space="preserve"> there is sufficient evidence to come to </w:t>
            </w:r>
            <w:r>
              <w:rPr>
                <w:rFonts w:ascii="Arial" w:hAnsi="Arial" w:cs="Arial"/>
                <w:color w:val="000080"/>
                <w:sz w:val="20"/>
                <w:szCs w:val="20"/>
              </w:rPr>
              <w:t>conclusion</w:t>
            </w:r>
            <w:r w:rsidR="00F61BC7">
              <w:rPr>
                <w:rFonts w:ascii="Arial" w:hAnsi="Arial" w:cs="Arial"/>
                <w:color w:val="000080"/>
                <w:sz w:val="20"/>
                <w:szCs w:val="20"/>
              </w:rPr>
              <w:t>s on these substances.</w:t>
            </w:r>
            <w:r>
              <w:rPr>
                <w:rFonts w:ascii="Arial" w:hAnsi="Arial" w:cs="Arial"/>
                <w:color w:val="000080"/>
                <w:sz w:val="20"/>
                <w:szCs w:val="20"/>
              </w:rPr>
              <w:t xml:space="preserve">  </w:t>
            </w:r>
          </w:p>
          <w:p w:rsidR="00C44188" w:rsidRPr="0076527E" w:rsidP="00B77746">
            <w:pPr>
              <w:spacing w:before="60" w:after="60"/>
              <w:jc w:val="both"/>
              <w:rPr>
                <w:rFonts w:ascii="Arial" w:hAnsi="Arial" w:cs="Arial"/>
                <w:color w:val="000080"/>
                <w:sz w:val="20"/>
                <w:szCs w:val="20"/>
              </w:rPr>
            </w:pPr>
            <w:r>
              <w:rPr>
                <w:rFonts w:ascii="Arial" w:hAnsi="Arial" w:cs="Arial"/>
                <w:color w:val="000080"/>
                <w:sz w:val="20"/>
                <w:szCs w:val="20"/>
              </w:rPr>
              <w:t xml:space="preserve">In addition to considering several options to review the </w:t>
            </w:r>
            <w:r w:rsidR="00002785">
              <w:rPr>
                <w:rFonts w:ascii="Arial" w:hAnsi="Arial" w:cs="Arial"/>
                <w:color w:val="000080"/>
                <w:sz w:val="20"/>
                <w:szCs w:val="20"/>
              </w:rPr>
              <w:t xml:space="preserve">limit for dioxins and furans, this assessment will </w:t>
            </w:r>
            <w:r w:rsidR="005A29D4">
              <w:rPr>
                <w:rFonts w:ascii="Arial" w:hAnsi="Arial" w:cs="Arial"/>
                <w:color w:val="000080"/>
                <w:sz w:val="20"/>
                <w:szCs w:val="20"/>
              </w:rPr>
              <w:t>investigate</w:t>
            </w:r>
            <w:r w:rsidR="00002785">
              <w:rPr>
                <w:rFonts w:ascii="Arial" w:hAnsi="Arial" w:cs="Arial"/>
                <w:color w:val="000080"/>
                <w:sz w:val="20"/>
                <w:szCs w:val="20"/>
              </w:rPr>
              <w:t xml:space="preserve"> the scientific soundness and the impact of including 12 dioxin-like PCBs</w:t>
            </w:r>
            <w:r>
              <w:rPr>
                <w:rStyle w:val="FootnoteReference"/>
                <w:rFonts w:ascii="Arial" w:hAnsi="Arial" w:cs="Arial"/>
                <w:color w:val="000080"/>
                <w:sz w:val="20"/>
                <w:szCs w:val="20"/>
              </w:rPr>
              <w:footnoteReference w:id="3"/>
            </w:r>
            <w:r w:rsidR="00002785">
              <w:rPr>
                <w:rFonts w:ascii="Arial" w:hAnsi="Arial" w:cs="Arial"/>
                <w:color w:val="000080"/>
                <w:sz w:val="20"/>
                <w:szCs w:val="20"/>
              </w:rPr>
              <w:t xml:space="preserve"> into the aggregated limit value</w:t>
            </w:r>
            <w:r w:rsidR="00E77B80">
              <w:rPr>
                <w:rFonts w:ascii="Arial" w:hAnsi="Arial" w:cs="Arial"/>
                <w:color w:val="000080"/>
                <w:sz w:val="20"/>
                <w:szCs w:val="20"/>
              </w:rPr>
              <w:t>s</w:t>
            </w:r>
            <w:r w:rsidR="00002785">
              <w:rPr>
                <w:rFonts w:ascii="Arial" w:hAnsi="Arial" w:cs="Arial"/>
                <w:color w:val="000080"/>
                <w:sz w:val="20"/>
                <w:szCs w:val="20"/>
              </w:rPr>
              <w:t xml:space="preserve"> for dioxins and furans. </w:t>
            </w:r>
            <w:r w:rsidR="000E7F01">
              <w:rPr>
                <w:rFonts w:ascii="Arial" w:hAnsi="Arial" w:cs="Arial"/>
                <w:color w:val="000080"/>
                <w:sz w:val="20"/>
                <w:szCs w:val="20"/>
              </w:rPr>
              <w:t xml:space="preserve">This is proposed in view that, according to WHO-IPCS these dl-PCB have a similar chemical structure </w:t>
            </w:r>
            <w:r w:rsidRPr="000E7F01" w:rsidR="000E7F01">
              <w:rPr>
                <w:rFonts w:ascii="Arial" w:hAnsi="Arial" w:cs="Arial"/>
                <w:color w:val="000080"/>
                <w:sz w:val="20"/>
                <w:szCs w:val="20"/>
              </w:rPr>
              <w:t>to dioxins and exhibit similar carcinogenic properties</w:t>
            </w:r>
            <w:r w:rsidR="000E7F01">
              <w:rPr>
                <w:rFonts w:ascii="Arial" w:hAnsi="Arial" w:cs="Arial"/>
                <w:color w:val="000080"/>
                <w:sz w:val="20"/>
                <w:szCs w:val="20"/>
              </w:rPr>
              <w:t>,</w:t>
            </w:r>
            <w:r w:rsidRPr="000E7F01" w:rsidR="000E7F01">
              <w:rPr>
                <w:rFonts w:ascii="Arial" w:hAnsi="Arial" w:cs="Arial"/>
                <w:color w:val="000080"/>
                <w:sz w:val="20"/>
                <w:szCs w:val="20"/>
              </w:rPr>
              <w:t xml:space="preserve"> although in general with lower potency </w:t>
            </w:r>
            <w:r w:rsidR="00E857AE">
              <w:rPr>
                <w:rFonts w:ascii="Arial" w:hAnsi="Arial" w:cs="Arial"/>
                <w:color w:val="000080"/>
                <w:sz w:val="20"/>
                <w:szCs w:val="20"/>
              </w:rPr>
              <w:t>(</w:t>
            </w:r>
            <w:r>
              <w:fldChar w:fldCharType="begin"/>
            </w:r>
            <w:r>
              <w:instrText xml:space="preserve"> HYPERLINK "https://www.researchgate.net/publication/6955075_The_2005_World_Health_Organization_Re-evaluation_of_Human_and_Mammalian_Toxic_Equivalency_Factors_for_Dioxins_and_Dioxin-like_Compounds" </w:instrText>
            </w:r>
            <w:r>
              <w:fldChar w:fldCharType="separate"/>
            </w:r>
            <w:r w:rsidRPr="00E857AE" w:rsidR="00E857AE">
              <w:rPr>
                <w:rStyle w:val="Hyperlink"/>
                <w:rFonts w:ascii="Arial" w:hAnsi="Arial" w:cs="Arial"/>
                <w:sz w:val="20"/>
                <w:szCs w:val="20"/>
              </w:rPr>
              <w:t xml:space="preserve">Van den Berg </w:t>
            </w:r>
            <w:r w:rsidRPr="00E857AE" w:rsidR="00E857AE">
              <w:rPr>
                <w:rStyle w:val="Hyperlink"/>
                <w:rFonts w:ascii="Arial" w:hAnsi="Arial" w:cs="Arial"/>
                <w:i/>
                <w:sz w:val="20"/>
                <w:szCs w:val="20"/>
              </w:rPr>
              <w:t>et al</w:t>
            </w:r>
            <w:r w:rsidRPr="00E857AE" w:rsidR="00E857AE">
              <w:rPr>
                <w:rStyle w:val="Hyperlink"/>
                <w:rFonts w:ascii="Arial" w:hAnsi="Arial" w:cs="Arial"/>
                <w:sz w:val="20"/>
                <w:szCs w:val="20"/>
              </w:rPr>
              <w:t>, 2006</w:t>
            </w:r>
            <w:r>
              <w:fldChar w:fldCharType="end"/>
            </w:r>
            <w:r w:rsidR="00E857AE">
              <w:rPr>
                <w:rFonts w:ascii="Arial" w:hAnsi="Arial" w:cs="Arial"/>
                <w:color w:val="000080"/>
                <w:sz w:val="20"/>
                <w:szCs w:val="20"/>
              </w:rPr>
              <w:t xml:space="preserve">) </w:t>
            </w:r>
            <w:r w:rsidRPr="000E7F01" w:rsidR="000E7F01">
              <w:rPr>
                <w:rFonts w:ascii="Arial" w:hAnsi="Arial" w:cs="Arial"/>
                <w:color w:val="000080"/>
                <w:sz w:val="20"/>
                <w:szCs w:val="20"/>
              </w:rPr>
              <w:t>than</w:t>
            </w:r>
            <w:r w:rsidR="000E7F01">
              <w:rPr>
                <w:rFonts w:ascii="Arial" w:hAnsi="Arial" w:cs="Arial"/>
                <w:color w:val="000080"/>
                <w:sz w:val="20"/>
                <w:szCs w:val="20"/>
              </w:rPr>
              <w:t xml:space="preserve"> the reference dioxin </w:t>
            </w:r>
            <w:r w:rsidRPr="000E7F01" w:rsidR="000E7F01">
              <w:rPr>
                <w:rFonts w:ascii="Arial" w:hAnsi="Arial" w:cs="Arial"/>
                <w:color w:val="000080"/>
                <w:sz w:val="20"/>
                <w:szCs w:val="20"/>
              </w:rPr>
              <w:t>TCDD.</w:t>
            </w:r>
            <w:r w:rsidRPr="0076527E" w:rsidR="00E77B80">
              <w:rPr>
                <w:rFonts w:ascii="Arial" w:hAnsi="Arial" w:cs="Arial"/>
                <w:color w:val="000080"/>
                <w:sz w:val="20"/>
                <w:szCs w:val="20"/>
              </w:rPr>
              <w:t xml:space="preserve"> </w:t>
            </w:r>
          </w:p>
        </w:tc>
      </w:tr>
      <w:tr w:rsidTr="00203E25">
        <w:tblPrEx>
          <w:tblW w:w="10314" w:type="dxa"/>
          <w:tblLook w:val="01E0"/>
        </w:tblPrEx>
        <w:tc>
          <w:tcPr>
            <w:tcW w:w="10314" w:type="dxa"/>
            <w:tcBorders>
              <w:bottom w:val="single" w:sz="4" w:space="0" w:color="auto"/>
            </w:tcBorders>
            <w:shd w:val="clear" w:color="auto" w:fill="0000FF"/>
          </w:tcPr>
          <w:p w:rsidR="00D05940" w:rsidRPr="00727510" w:rsidP="00AF4469">
            <w:pPr>
              <w:spacing w:before="60" w:after="60"/>
              <w:jc w:val="both"/>
              <w:rPr>
                <w:rFonts w:ascii="Arial" w:hAnsi="Arial" w:cs="Arial"/>
                <w:b/>
                <w:color w:val="FFFFFF"/>
                <w:sz w:val="22"/>
                <w:szCs w:val="22"/>
              </w:rPr>
            </w:pPr>
            <w:r>
              <w:rPr>
                <w:rFonts w:ascii="Arial" w:hAnsi="Arial" w:cs="Arial"/>
                <w:b/>
                <w:color w:val="FFFFFF"/>
                <w:sz w:val="22"/>
                <w:szCs w:val="22"/>
                <w:highlight w:val="blue"/>
              </w:rPr>
              <w:t>C</w:t>
            </w:r>
            <w:r w:rsidRPr="00727510">
              <w:rPr>
                <w:rFonts w:ascii="Arial" w:hAnsi="Arial" w:cs="Arial"/>
                <w:b/>
                <w:color w:val="FFFFFF"/>
                <w:sz w:val="22"/>
                <w:szCs w:val="22"/>
                <w:highlight w:val="blue"/>
              </w:rPr>
              <w:t xml:space="preserve">. </w:t>
            </w:r>
            <w:r w:rsidRPr="00727510">
              <w:rPr>
                <w:rFonts w:ascii="Arial" w:hAnsi="Arial" w:cs="Arial"/>
                <w:b/>
                <w:color w:val="FFFFFF"/>
                <w:sz w:val="22"/>
                <w:szCs w:val="22"/>
                <w:highlight w:val="blue"/>
                <w:shd w:val="pct15" w:color="auto" w:fill="FFFFFF"/>
              </w:rPr>
              <w:t xml:space="preserve"> </w:t>
            </w:r>
            <w:r>
              <w:rPr>
                <w:rFonts w:ascii="Arial" w:hAnsi="Arial" w:cs="Arial"/>
                <w:b/>
                <w:color w:val="FFFFFF"/>
                <w:sz w:val="22"/>
                <w:szCs w:val="22"/>
                <w:highlight w:val="blue"/>
                <w:shd w:val="pct15" w:color="auto" w:fill="FFFFFF"/>
              </w:rPr>
              <w:t xml:space="preserve">Preliminary Assessment of Expected </w:t>
            </w:r>
            <w:r w:rsidRPr="00727510">
              <w:rPr>
                <w:rFonts w:ascii="Arial" w:hAnsi="Arial" w:cs="Arial"/>
                <w:b/>
                <w:color w:val="FFFFFF"/>
                <w:sz w:val="22"/>
                <w:szCs w:val="22"/>
                <w:highlight w:val="blue"/>
              </w:rPr>
              <w:t>Impact</w:t>
            </w:r>
            <w:r>
              <w:rPr>
                <w:rFonts w:ascii="Arial" w:hAnsi="Arial" w:cs="Arial"/>
                <w:b/>
                <w:color w:val="FFFFFF"/>
                <w:sz w:val="22"/>
                <w:szCs w:val="22"/>
                <w:highlight w:val="blue"/>
              </w:rPr>
              <w:t>s</w:t>
            </w:r>
            <w:r>
              <w:rPr>
                <w:rFonts w:ascii="Arial" w:hAnsi="Arial" w:cs="Arial"/>
                <w:b/>
                <w:color w:val="FFFFFF"/>
                <w:sz w:val="22"/>
                <w:szCs w:val="22"/>
              </w:rPr>
              <w:t xml:space="preserve"> </w:t>
            </w:r>
          </w:p>
        </w:tc>
      </w:tr>
      <w:tr w:rsidTr="00203E25">
        <w:tblPrEx>
          <w:tblW w:w="10314" w:type="dxa"/>
          <w:tblLook w:val="01E0"/>
        </w:tblPrEx>
        <w:tc>
          <w:tcPr>
            <w:tcW w:w="10314" w:type="dxa"/>
            <w:tcBorders>
              <w:bottom w:val="single" w:sz="4" w:space="0" w:color="auto"/>
            </w:tcBorders>
            <w:shd w:val="clear" w:color="auto" w:fill="E6E6E6"/>
          </w:tcPr>
          <w:p w:rsidR="00D05940" w:rsidRPr="00C9010B" w:rsidP="00D05940">
            <w:pPr>
              <w:spacing w:before="60"/>
              <w:jc w:val="both"/>
              <w:rPr>
                <w:rFonts w:ascii="Arial" w:hAnsi="Arial" w:cs="Arial"/>
                <w:b/>
                <w:sz w:val="20"/>
                <w:szCs w:val="20"/>
              </w:rPr>
            </w:pPr>
            <w:r>
              <w:rPr>
                <w:rFonts w:ascii="Arial" w:hAnsi="Arial" w:cs="Arial"/>
                <w:b/>
                <w:sz w:val="20"/>
                <w:szCs w:val="20"/>
              </w:rPr>
              <w:t>L</w:t>
            </w:r>
            <w:r w:rsidRPr="00C9010B">
              <w:rPr>
                <w:rFonts w:ascii="Arial" w:hAnsi="Arial" w:cs="Arial"/>
                <w:b/>
                <w:sz w:val="20"/>
                <w:szCs w:val="20"/>
              </w:rPr>
              <w:t>ikely economic impacts</w:t>
            </w:r>
          </w:p>
        </w:tc>
      </w:tr>
      <w:tr w:rsidTr="00203E25">
        <w:tblPrEx>
          <w:tblW w:w="10314" w:type="dxa"/>
          <w:tblLook w:val="01E0"/>
        </w:tblPrEx>
        <w:tc>
          <w:tcPr>
            <w:tcW w:w="10314" w:type="dxa"/>
            <w:shd w:val="clear" w:color="auto" w:fill="auto"/>
          </w:tcPr>
          <w:p w:rsidR="00D01674" w:rsidP="00D01674">
            <w:pPr>
              <w:spacing w:after="60"/>
              <w:jc w:val="both"/>
              <w:rPr>
                <w:rFonts w:ascii="Arial" w:hAnsi="Arial" w:cs="Arial"/>
                <w:color w:val="000080"/>
                <w:sz w:val="20"/>
                <w:szCs w:val="20"/>
              </w:rPr>
            </w:pPr>
            <w:r>
              <w:rPr>
                <w:rFonts w:ascii="Arial" w:hAnsi="Arial" w:cs="Arial"/>
                <w:color w:val="000080"/>
                <w:sz w:val="20"/>
                <w:szCs w:val="20"/>
              </w:rPr>
              <w:t xml:space="preserve">Given the proposed measure deals with ten different substances / groups of substances which are present in a variety of different waste streams of different relevance in terms of amounts generated, share of waste treatments currently used, sectors involved and recyclability of </w:t>
            </w:r>
            <w:r w:rsidR="0060742A">
              <w:rPr>
                <w:rFonts w:ascii="Arial" w:hAnsi="Arial" w:cs="Arial"/>
                <w:color w:val="000080"/>
                <w:sz w:val="20"/>
                <w:szCs w:val="20"/>
              </w:rPr>
              <w:t xml:space="preserve">the </w:t>
            </w:r>
            <w:r>
              <w:rPr>
                <w:rFonts w:ascii="Arial" w:hAnsi="Arial" w:cs="Arial"/>
                <w:color w:val="000080"/>
                <w:sz w:val="20"/>
                <w:szCs w:val="20"/>
              </w:rPr>
              <w:t xml:space="preserve">materials, it is not possible to provide </w:t>
            </w:r>
            <w:r w:rsidR="0060742A">
              <w:rPr>
                <w:rFonts w:ascii="Arial" w:hAnsi="Arial" w:cs="Arial"/>
                <w:color w:val="000080"/>
                <w:sz w:val="20"/>
                <w:szCs w:val="20"/>
              </w:rPr>
              <w:t xml:space="preserve">here </w:t>
            </w:r>
            <w:r>
              <w:rPr>
                <w:rFonts w:ascii="Arial" w:hAnsi="Arial" w:cs="Arial"/>
                <w:color w:val="000080"/>
                <w:sz w:val="20"/>
                <w:szCs w:val="20"/>
              </w:rPr>
              <w:t>a</w:t>
            </w:r>
            <w:r w:rsidR="00643A89">
              <w:rPr>
                <w:rFonts w:ascii="Arial" w:hAnsi="Arial" w:cs="Arial"/>
                <w:color w:val="000080"/>
                <w:sz w:val="20"/>
                <w:szCs w:val="20"/>
              </w:rPr>
              <w:t xml:space="preserve"> detailed </w:t>
            </w:r>
            <w:r>
              <w:rPr>
                <w:rFonts w:ascii="Arial" w:hAnsi="Arial" w:cs="Arial"/>
                <w:color w:val="000080"/>
                <w:sz w:val="20"/>
                <w:szCs w:val="20"/>
              </w:rPr>
              <w:t xml:space="preserve">overview of the potential impacts of setting limit values in Annex IV. Information on typical waste streams, amounts generated and share of different waste treatments, including recycling, is provided in the </w:t>
            </w:r>
            <w:r w:rsidR="009D6EE3">
              <w:rPr>
                <w:rFonts w:ascii="Arial" w:hAnsi="Arial" w:cs="Arial"/>
                <w:color w:val="000080"/>
                <w:sz w:val="20"/>
                <w:szCs w:val="20"/>
              </w:rPr>
              <w:t xml:space="preserve">three </w:t>
            </w:r>
            <w:r>
              <w:rPr>
                <w:rFonts w:ascii="Arial" w:hAnsi="Arial" w:cs="Arial"/>
                <w:color w:val="000080"/>
                <w:sz w:val="20"/>
                <w:szCs w:val="20"/>
              </w:rPr>
              <w:t xml:space="preserve">studies mentioned in </w:t>
            </w:r>
            <w:r w:rsidR="009D6EE3">
              <w:rPr>
                <w:rFonts w:ascii="Arial" w:hAnsi="Arial" w:cs="Arial"/>
                <w:color w:val="000080"/>
                <w:sz w:val="20"/>
                <w:szCs w:val="20"/>
              </w:rPr>
              <w:t>the section above</w:t>
            </w:r>
            <w:r>
              <w:rPr>
                <w:rFonts w:ascii="Arial" w:hAnsi="Arial" w:cs="Arial"/>
                <w:color w:val="000080"/>
                <w:sz w:val="20"/>
                <w:szCs w:val="20"/>
              </w:rPr>
              <w:t xml:space="preserve">. These studies provide indications that, for limit values </w:t>
            </w:r>
            <w:r w:rsidR="0060742A">
              <w:rPr>
                <w:rFonts w:ascii="Arial" w:hAnsi="Arial" w:cs="Arial"/>
                <w:color w:val="000080"/>
                <w:sz w:val="20"/>
                <w:szCs w:val="20"/>
              </w:rPr>
              <w:t>proposed</w:t>
            </w:r>
            <w:r>
              <w:rPr>
                <w:rFonts w:ascii="Arial" w:hAnsi="Arial" w:cs="Arial"/>
                <w:color w:val="000080"/>
                <w:sz w:val="20"/>
                <w:szCs w:val="20"/>
              </w:rPr>
              <w:t xml:space="preserve">, the economic impact would be low or acceptable, based on the expected shifts from recycling to other options such as energy recovery or, to a lesser extent, landfilling. </w:t>
            </w:r>
          </w:p>
          <w:p w:rsidR="00730B8A" w:rsidP="00D01674">
            <w:pPr>
              <w:spacing w:after="60"/>
              <w:jc w:val="both"/>
              <w:rPr>
                <w:rFonts w:ascii="Arial" w:hAnsi="Arial" w:cs="Arial"/>
                <w:color w:val="000080"/>
                <w:sz w:val="20"/>
                <w:szCs w:val="20"/>
              </w:rPr>
            </w:pPr>
            <w:r>
              <w:rPr>
                <w:rFonts w:ascii="Arial" w:hAnsi="Arial" w:cs="Arial"/>
                <w:color w:val="000080"/>
                <w:sz w:val="20"/>
                <w:szCs w:val="20"/>
              </w:rPr>
              <w:t xml:space="preserve">In general terms, lowering Annex IV values from their current baselines will generally result in greater amounts of waste becoming unavailable to be recycled and being diverted to disposal operations, in most cases via incineration. This is particularly relevant for waste streams associated </w:t>
            </w:r>
            <w:r w:rsidR="004A0EDD">
              <w:rPr>
                <w:rFonts w:ascii="Arial" w:hAnsi="Arial" w:cs="Arial"/>
                <w:color w:val="000080"/>
                <w:sz w:val="20"/>
                <w:szCs w:val="20"/>
              </w:rPr>
              <w:t xml:space="preserve">with </w:t>
            </w:r>
            <w:r>
              <w:rPr>
                <w:rFonts w:ascii="Arial" w:hAnsi="Arial" w:cs="Arial"/>
                <w:color w:val="000080"/>
                <w:sz w:val="20"/>
                <w:szCs w:val="20"/>
              </w:rPr>
              <w:t>PBDEs (present in WEEE and ELV plastics, plastics from construction and demolition and textiles), to HBCDD (present in expanded and extruded polystyrene arising as packaging and construction &amp; demolition waste), SCCPs (present in certain rubber goods such as conveyor belts from mining industry and in construction waste)</w:t>
            </w:r>
            <w:r>
              <w:rPr>
                <w:rFonts w:ascii="Arial" w:hAnsi="Arial" w:cs="Arial"/>
                <w:color w:val="000080"/>
                <w:sz w:val="20"/>
                <w:szCs w:val="20"/>
              </w:rPr>
              <w:t xml:space="preserve"> and for </w:t>
            </w:r>
            <w:r>
              <w:rPr>
                <w:rFonts w:ascii="Arial" w:hAnsi="Arial" w:cs="Arial"/>
                <w:color w:val="000080"/>
                <w:sz w:val="20"/>
                <w:szCs w:val="20"/>
              </w:rPr>
              <w:t>pentachlorophenol present in treated wood and certain textiles</w:t>
            </w:r>
            <w:r>
              <w:rPr>
                <w:rFonts w:ascii="Arial" w:hAnsi="Arial" w:cs="Arial"/>
                <w:color w:val="000080"/>
                <w:sz w:val="20"/>
                <w:szCs w:val="20"/>
              </w:rPr>
              <w:t>. This is also the case for waste containing</w:t>
            </w:r>
            <w:r>
              <w:rPr>
                <w:rFonts w:ascii="Arial" w:hAnsi="Arial" w:cs="Arial"/>
                <w:color w:val="000080"/>
                <w:sz w:val="20"/>
                <w:szCs w:val="20"/>
              </w:rPr>
              <w:t xml:space="preserve"> dioxins and furans which are present as unintentional constituents of certain ashes from thermal processes which, in some countries, are recycled into construction materials (eg for roads).</w:t>
            </w:r>
          </w:p>
          <w:p w:rsidR="00000155" w:rsidRPr="00977ECE" w:rsidP="00CE4E00">
            <w:pPr>
              <w:spacing w:after="60"/>
              <w:jc w:val="both"/>
              <w:rPr>
                <w:rFonts w:ascii="Arial" w:hAnsi="Arial" w:cs="Arial"/>
                <w:i/>
                <w:color w:val="00B050"/>
                <w:sz w:val="20"/>
                <w:szCs w:val="20"/>
              </w:rPr>
            </w:pPr>
            <w:r>
              <w:rPr>
                <w:rFonts w:ascii="Arial" w:hAnsi="Arial" w:cs="Arial"/>
                <w:color w:val="000080"/>
                <w:sz w:val="20"/>
                <w:szCs w:val="20"/>
              </w:rPr>
              <w:t xml:space="preserve">In addition, </w:t>
            </w:r>
            <w:r w:rsidR="00643A89">
              <w:rPr>
                <w:rFonts w:ascii="Arial" w:hAnsi="Arial" w:cs="Arial"/>
                <w:color w:val="000080"/>
                <w:sz w:val="20"/>
                <w:szCs w:val="20"/>
              </w:rPr>
              <w:t>a</w:t>
            </w:r>
            <w:r w:rsidR="00730B8A">
              <w:rPr>
                <w:rFonts w:ascii="Arial" w:hAnsi="Arial" w:cs="Arial"/>
                <w:color w:val="000080"/>
                <w:sz w:val="20"/>
                <w:szCs w:val="20"/>
              </w:rPr>
              <w:t xml:space="preserve"> reduction in the limit values in Annex IV will result in differing amounts of </w:t>
            </w:r>
            <w:r w:rsidR="00643A89">
              <w:rPr>
                <w:rFonts w:ascii="Arial" w:hAnsi="Arial" w:cs="Arial"/>
                <w:color w:val="000080"/>
                <w:sz w:val="20"/>
                <w:szCs w:val="20"/>
              </w:rPr>
              <w:t xml:space="preserve">waste </w:t>
            </w:r>
            <w:r w:rsidR="00730B8A">
              <w:rPr>
                <w:rFonts w:ascii="Arial" w:hAnsi="Arial" w:cs="Arial"/>
                <w:color w:val="000080"/>
                <w:sz w:val="20"/>
                <w:szCs w:val="20"/>
              </w:rPr>
              <w:t>becoming unavailable to be recycled, affecting, not only those who manage waste and place on the market the recovered materials, but also the users of these materials, the producers of the primary raw materials</w:t>
            </w:r>
            <w:r w:rsidR="00D01674">
              <w:rPr>
                <w:rFonts w:ascii="Arial" w:hAnsi="Arial" w:cs="Arial"/>
                <w:color w:val="000080"/>
                <w:sz w:val="20"/>
                <w:szCs w:val="20"/>
              </w:rPr>
              <w:t xml:space="preserve"> </w:t>
            </w:r>
            <w:r w:rsidR="00730B8A">
              <w:rPr>
                <w:rFonts w:ascii="Arial" w:hAnsi="Arial" w:cs="Arial"/>
                <w:color w:val="000080"/>
                <w:sz w:val="20"/>
                <w:szCs w:val="20"/>
              </w:rPr>
              <w:t xml:space="preserve">that are substituted, as well as the general public and environmental receptors that will be affected in a positive or negative manner, depending on the limit values ultimately adopted. </w:t>
            </w:r>
            <w:r w:rsidR="0069264D">
              <w:rPr>
                <w:rFonts w:ascii="Arial" w:hAnsi="Arial" w:cs="Arial"/>
                <w:color w:val="000080"/>
                <w:sz w:val="20"/>
                <w:szCs w:val="20"/>
              </w:rPr>
              <w:t>Every effort will made to identify any potential of leakage of POP substances in recycled materials to particularly sensitive uses, such as food contact materials or toys, so these can be addressed and avoided.</w:t>
            </w:r>
          </w:p>
        </w:tc>
      </w:tr>
      <w:tr w:rsidTr="00203E25">
        <w:tblPrEx>
          <w:tblW w:w="10314" w:type="dxa"/>
          <w:tblLook w:val="01E0"/>
        </w:tblPrEx>
        <w:tc>
          <w:tcPr>
            <w:tcW w:w="10314" w:type="dxa"/>
            <w:tcBorders>
              <w:bottom w:val="single" w:sz="4" w:space="0" w:color="auto"/>
            </w:tcBorders>
            <w:shd w:val="clear" w:color="auto" w:fill="E6E6E6"/>
          </w:tcPr>
          <w:p w:rsidR="00D05940" w:rsidRPr="00577C04" w:rsidP="00D05940">
            <w:pPr>
              <w:spacing w:before="60"/>
              <w:jc w:val="both"/>
              <w:rPr>
                <w:rFonts w:ascii="Arial" w:hAnsi="Arial" w:cs="Arial"/>
                <w:b/>
                <w:sz w:val="20"/>
                <w:szCs w:val="20"/>
              </w:rPr>
            </w:pPr>
            <w:r>
              <w:rPr>
                <w:rFonts w:ascii="Arial" w:hAnsi="Arial" w:cs="Arial"/>
                <w:b/>
                <w:sz w:val="20"/>
                <w:szCs w:val="20"/>
              </w:rPr>
              <w:t>L</w:t>
            </w:r>
            <w:r w:rsidRPr="00C9010B">
              <w:rPr>
                <w:rFonts w:ascii="Arial" w:hAnsi="Arial" w:cs="Arial"/>
                <w:b/>
                <w:sz w:val="20"/>
                <w:szCs w:val="20"/>
              </w:rPr>
              <w:t>ikely social</w:t>
            </w:r>
            <w:r>
              <w:rPr>
                <w:rFonts w:ascii="Arial" w:hAnsi="Arial" w:cs="Arial"/>
                <w:b/>
                <w:sz w:val="20"/>
                <w:szCs w:val="20"/>
              </w:rPr>
              <w:t xml:space="preserve"> impacts </w:t>
            </w:r>
          </w:p>
        </w:tc>
      </w:tr>
      <w:tr w:rsidTr="00203E25">
        <w:tblPrEx>
          <w:tblW w:w="10314" w:type="dxa"/>
          <w:tblLook w:val="01E0"/>
        </w:tblPrEx>
        <w:tc>
          <w:tcPr>
            <w:tcW w:w="10314" w:type="dxa"/>
            <w:tcBorders>
              <w:bottom w:val="single" w:sz="4" w:space="0" w:color="auto"/>
            </w:tcBorders>
            <w:shd w:val="clear" w:color="auto" w:fill="auto"/>
          </w:tcPr>
          <w:p w:rsidR="00FB2F0B" w:rsidP="00295236">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T</w:t>
            </w:r>
            <w:r>
              <w:rPr>
                <w:rFonts w:ascii="Arial" w:hAnsi="Arial" w:cs="Arial"/>
                <w:color w:val="000080"/>
                <w:sz w:val="20"/>
                <w:szCs w:val="20"/>
              </w:rPr>
              <w:t>he potential different impacts</w:t>
            </w:r>
            <w:r w:rsidR="00AF4469">
              <w:rPr>
                <w:rFonts w:ascii="Arial" w:hAnsi="Arial" w:cs="Arial"/>
                <w:color w:val="000080"/>
                <w:sz w:val="20"/>
                <w:szCs w:val="20"/>
              </w:rPr>
              <w:t xml:space="preserve"> of </w:t>
            </w:r>
            <w:r>
              <w:rPr>
                <w:rFonts w:ascii="Arial" w:hAnsi="Arial" w:cs="Arial"/>
                <w:color w:val="000080"/>
                <w:sz w:val="20"/>
                <w:szCs w:val="20"/>
              </w:rPr>
              <w:t xml:space="preserve">different limit values </w:t>
            </w:r>
            <w:r w:rsidR="00FC4A49">
              <w:rPr>
                <w:rFonts w:ascii="Arial" w:hAnsi="Arial" w:cs="Arial"/>
                <w:color w:val="000080"/>
                <w:sz w:val="20"/>
                <w:szCs w:val="20"/>
              </w:rPr>
              <w:t xml:space="preserve">cannot be described </w:t>
            </w:r>
            <w:r>
              <w:rPr>
                <w:rFonts w:ascii="Arial" w:hAnsi="Arial" w:cs="Arial"/>
                <w:color w:val="000080"/>
                <w:sz w:val="20"/>
                <w:szCs w:val="20"/>
              </w:rPr>
              <w:t>for each substance and waste stream affected</w:t>
            </w:r>
            <w:r>
              <w:rPr>
                <w:rFonts w:ascii="Arial" w:hAnsi="Arial" w:cs="Arial"/>
                <w:color w:val="000080"/>
                <w:sz w:val="20"/>
                <w:szCs w:val="20"/>
              </w:rPr>
              <w:t xml:space="preserve"> however</w:t>
            </w:r>
            <w:r>
              <w:rPr>
                <w:rFonts w:ascii="Arial" w:hAnsi="Arial" w:cs="Arial"/>
                <w:color w:val="000080"/>
                <w:sz w:val="20"/>
                <w:szCs w:val="20"/>
              </w:rPr>
              <w:t xml:space="preserve"> these can be </w:t>
            </w:r>
            <w:r w:rsidR="00AF4469">
              <w:rPr>
                <w:rFonts w:ascii="Arial" w:hAnsi="Arial" w:cs="Arial"/>
                <w:color w:val="000080"/>
                <w:sz w:val="20"/>
                <w:szCs w:val="20"/>
              </w:rPr>
              <w:t>outlined</w:t>
            </w:r>
            <w:r>
              <w:rPr>
                <w:rFonts w:ascii="Arial" w:hAnsi="Arial" w:cs="Arial"/>
                <w:color w:val="000080"/>
                <w:sz w:val="20"/>
                <w:szCs w:val="20"/>
              </w:rPr>
              <w:t xml:space="preserve"> in a generic manner. </w:t>
            </w:r>
            <w:r w:rsidR="00AF4469">
              <w:rPr>
                <w:rFonts w:ascii="Arial" w:hAnsi="Arial" w:cs="Arial"/>
                <w:color w:val="000080"/>
                <w:sz w:val="20"/>
                <w:szCs w:val="20"/>
              </w:rPr>
              <w:t>Generally, l</w:t>
            </w:r>
            <w:r>
              <w:rPr>
                <w:rFonts w:ascii="Arial" w:hAnsi="Arial" w:cs="Arial"/>
                <w:color w:val="000080"/>
                <w:sz w:val="20"/>
                <w:szCs w:val="20"/>
              </w:rPr>
              <w:t xml:space="preserve">ower limit values will reduce the amount of material </w:t>
            </w:r>
            <w:r w:rsidR="00AF4469">
              <w:rPr>
                <w:rFonts w:ascii="Arial" w:hAnsi="Arial" w:cs="Arial"/>
                <w:color w:val="000080"/>
                <w:sz w:val="20"/>
                <w:szCs w:val="20"/>
              </w:rPr>
              <w:t xml:space="preserve">available for </w:t>
            </w:r>
            <w:r>
              <w:rPr>
                <w:rFonts w:ascii="Arial" w:hAnsi="Arial" w:cs="Arial"/>
                <w:color w:val="000080"/>
                <w:sz w:val="20"/>
                <w:szCs w:val="20"/>
              </w:rPr>
              <w:t>recycl</w:t>
            </w:r>
            <w:r w:rsidR="00AF4469">
              <w:rPr>
                <w:rFonts w:ascii="Arial" w:hAnsi="Arial" w:cs="Arial"/>
                <w:color w:val="000080"/>
                <w:sz w:val="20"/>
                <w:szCs w:val="20"/>
              </w:rPr>
              <w:t>ing</w:t>
            </w:r>
            <w:r>
              <w:rPr>
                <w:rFonts w:ascii="Arial" w:hAnsi="Arial" w:cs="Arial"/>
                <w:color w:val="000080"/>
                <w:sz w:val="20"/>
                <w:szCs w:val="20"/>
              </w:rPr>
              <w:t>, resulting in more material being destroyed, potentially resulting in:</w:t>
            </w:r>
          </w:p>
          <w:p w:rsidR="00AF4469" w:rsidP="001A0FE4">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Reduction or elimination of certain recycling activities, with negative consequences in employment directly related to the</w:t>
            </w:r>
            <w:r>
              <w:rPr>
                <w:rFonts w:ascii="Arial" w:hAnsi="Arial" w:cs="Arial"/>
                <w:color w:val="000080"/>
                <w:sz w:val="20"/>
                <w:szCs w:val="20"/>
              </w:rPr>
              <w:t>m</w:t>
            </w:r>
            <w:r>
              <w:rPr>
                <w:rFonts w:ascii="Arial" w:hAnsi="Arial" w:cs="Arial"/>
                <w:color w:val="000080"/>
                <w:sz w:val="20"/>
                <w:szCs w:val="20"/>
              </w:rPr>
              <w:t xml:space="preserve"> and </w:t>
            </w:r>
            <w:r>
              <w:rPr>
                <w:rFonts w:ascii="Arial" w:hAnsi="Arial" w:cs="Arial"/>
                <w:color w:val="000080"/>
                <w:sz w:val="20"/>
                <w:szCs w:val="20"/>
              </w:rPr>
              <w:t xml:space="preserve">to </w:t>
            </w:r>
            <w:r>
              <w:rPr>
                <w:rFonts w:ascii="Arial" w:hAnsi="Arial" w:cs="Arial"/>
                <w:color w:val="000080"/>
                <w:sz w:val="20"/>
                <w:szCs w:val="20"/>
              </w:rPr>
              <w:t>the placing on the market and transformation of the recovered material</w:t>
            </w:r>
            <w:r w:rsidR="005861AF">
              <w:rPr>
                <w:rFonts w:ascii="Arial" w:hAnsi="Arial" w:cs="Arial"/>
                <w:color w:val="000080"/>
                <w:sz w:val="20"/>
                <w:szCs w:val="20"/>
              </w:rPr>
              <w:t xml:space="preserve"> (eg reduced recycling of waste plastic from electronic equipment, of construction and demolition waste).</w:t>
            </w:r>
            <w:r>
              <w:rPr>
                <w:rFonts w:ascii="Arial" w:hAnsi="Arial" w:cs="Arial"/>
                <w:color w:val="000080"/>
                <w:sz w:val="20"/>
                <w:szCs w:val="20"/>
              </w:rPr>
              <w:t xml:space="preserve"> </w:t>
            </w:r>
          </w:p>
          <w:p w:rsidR="00AF4469" w:rsidP="001A0FE4">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 xml:space="preserve">The latter may however lead to an increase in employment associated </w:t>
            </w:r>
            <w:r w:rsidR="004A0EDD">
              <w:rPr>
                <w:rFonts w:ascii="Arial" w:hAnsi="Arial" w:cs="Arial"/>
                <w:color w:val="000080"/>
                <w:sz w:val="20"/>
                <w:szCs w:val="20"/>
              </w:rPr>
              <w:t xml:space="preserve">with </w:t>
            </w:r>
            <w:r>
              <w:rPr>
                <w:rFonts w:ascii="Arial" w:hAnsi="Arial" w:cs="Arial"/>
                <w:color w:val="000080"/>
                <w:sz w:val="20"/>
                <w:szCs w:val="20"/>
              </w:rPr>
              <w:t>the irreversible destruction of POP waste</w:t>
            </w:r>
            <w:r w:rsidR="00FB3713">
              <w:rPr>
                <w:rFonts w:ascii="Arial" w:hAnsi="Arial" w:cs="Arial"/>
                <w:color w:val="000080"/>
                <w:sz w:val="20"/>
                <w:szCs w:val="20"/>
              </w:rPr>
              <w:t xml:space="preserve"> as well as with an increase in activity and technological development associated to improved sorting and decontamination of waste streams concerned</w:t>
            </w:r>
            <w:r>
              <w:rPr>
                <w:rFonts w:ascii="Arial" w:hAnsi="Arial" w:cs="Arial"/>
                <w:color w:val="000080"/>
                <w:sz w:val="20"/>
                <w:szCs w:val="20"/>
              </w:rPr>
              <w:t xml:space="preserve"> (which may or may not offset the previous effect), </w:t>
            </w:r>
          </w:p>
          <w:p w:rsidR="00DA4B1B" w:rsidP="005C471D">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 xml:space="preserve">Changes in waste management costs, </w:t>
            </w:r>
            <w:r w:rsidR="007A2604">
              <w:rPr>
                <w:rFonts w:ascii="Arial" w:hAnsi="Arial" w:cs="Arial"/>
                <w:color w:val="000080"/>
                <w:sz w:val="20"/>
                <w:szCs w:val="20"/>
              </w:rPr>
              <w:t>i.e.</w:t>
            </w:r>
            <w:r>
              <w:rPr>
                <w:rFonts w:ascii="Arial" w:hAnsi="Arial" w:cs="Arial"/>
                <w:color w:val="000080"/>
                <w:sz w:val="20"/>
                <w:szCs w:val="20"/>
              </w:rPr>
              <w:t xml:space="preserve"> due to greater amounts destined to incineration.</w:t>
            </w:r>
            <w:r w:rsidR="007A2604">
              <w:rPr>
                <w:rFonts w:ascii="Arial" w:hAnsi="Arial" w:cs="Arial"/>
                <w:color w:val="000080"/>
                <w:sz w:val="20"/>
                <w:szCs w:val="20"/>
              </w:rPr>
              <w:t xml:space="preserve"> In the case of wastes containing dioxins and furans, a lowering of the annex IV limit value may have a direct impact on the amounts and types of wastes classified as hazardous</w:t>
            </w:r>
            <w:r>
              <w:rPr>
                <w:vertAlign w:val="superscript"/>
              </w:rPr>
              <w:footnoteReference w:id="4"/>
            </w:r>
            <w:r w:rsidR="00DB7A99">
              <w:rPr>
                <w:rFonts w:ascii="Arial" w:hAnsi="Arial" w:cs="Arial"/>
                <w:color w:val="000080"/>
                <w:sz w:val="20"/>
                <w:szCs w:val="20"/>
              </w:rPr>
              <w:t xml:space="preserve"> and consequently on their management costs.</w:t>
            </w:r>
            <w:r>
              <w:rPr>
                <w:rFonts w:ascii="Arial" w:hAnsi="Arial" w:cs="Arial"/>
                <w:color w:val="000080"/>
                <w:sz w:val="20"/>
                <w:szCs w:val="20"/>
              </w:rPr>
              <w:t xml:space="preserve"> </w:t>
            </w:r>
          </w:p>
          <w:p w:rsidR="00FB2F0B" w:rsidRPr="00974AE8" w:rsidP="005C471D">
            <w:pPr>
              <w:pStyle w:val="ListParagraph"/>
              <w:numPr>
                <w:ilvl w:val="0"/>
                <w:numId w:val="17"/>
              </w:numPr>
              <w:spacing w:before="60" w:after="60"/>
              <w:jc w:val="both"/>
              <w:rPr>
                <w:rFonts w:ascii="Arial" w:hAnsi="Arial" w:cs="Arial"/>
                <w:color w:val="000080"/>
                <w:sz w:val="20"/>
                <w:szCs w:val="20"/>
              </w:rPr>
            </w:pPr>
            <w:r w:rsidRPr="00974AE8">
              <w:rPr>
                <w:rFonts w:ascii="Arial" w:hAnsi="Arial" w:cs="Arial"/>
                <w:color w:val="000080"/>
                <w:sz w:val="20"/>
                <w:szCs w:val="20"/>
              </w:rPr>
              <w:t>From the poi</w:t>
            </w:r>
            <w:r w:rsidR="00974AE8">
              <w:rPr>
                <w:rFonts w:ascii="Arial" w:hAnsi="Arial" w:cs="Arial"/>
                <w:color w:val="000080"/>
                <w:sz w:val="20"/>
                <w:szCs w:val="20"/>
              </w:rPr>
              <w:t>nt of view of worker protection</w:t>
            </w:r>
            <w:r w:rsidRPr="00974AE8">
              <w:rPr>
                <w:rFonts w:ascii="Arial" w:hAnsi="Arial" w:cs="Arial"/>
                <w:color w:val="000080"/>
                <w:sz w:val="20"/>
                <w:szCs w:val="20"/>
              </w:rPr>
              <w:t xml:space="preserve"> </w:t>
            </w:r>
            <w:r w:rsidR="00974AE8">
              <w:rPr>
                <w:rFonts w:ascii="Arial" w:hAnsi="Arial" w:cs="Arial"/>
                <w:color w:val="000080"/>
                <w:sz w:val="20"/>
                <w:szCs w:val="20"/>
              </w:rPr>
              <w:t>it</w:t>
            </w:r>
            <w:r w:rsidRPr="00974AE8" w:rsidR="00974AE8">
              <w:rPr>
                <w:rFonts w:ascii="Arial" w:hAnsi="Arial" w:cs="Arial"/>
                <w:color w:val="000080"/>
                <w:sz w:val="20"/>
                <w:szCs w:val="20"/>
              </w:rPr>
              <w:t xml:space="preserve"> may have a positive health impact upon workers in waste management facilities</w:t>
            </w:r>
            <w:r w:rsidR="00AF4469">
              <w:rPr>
                <w:rFonts w:ascii="Arial" w:hAnsi="Arial" w:cs="Arial"/>
                <w:color w:val="000080"/>
                <w:sz w:val="20"/>
                <w:szCs w:val="20"/>
              </w:rPr>
              <w:t xml:space="preserve"> due to reduced exposure to POP substances in the treated waste</w:t>
            </w:r>
            <w:r w:rsidR="00D36D89">
              <w:rPr>
                <w:rFonts w:ascii="Arial" w:hAnsi="Arial" w:cs="Arial"/>
                <w:color w:val="000080"/>
                <w:sz w:val="20"/>
                <w:szCs w:val="20"/>
              </w:rPr>
              <w:t>, as well as of converters of the materials obtained</w:t>
            </w:r>
            <w:r w:rsidR="00AF4469">
              <w:rPr>
                <w:rFonts w:ascii="Arial" w:hAnsi="Arial" w:cs="Arial"/>
                <w:color w:val="000080"/>
                <w:sz w:val="20"/>
                <w:szCs w:val="20"/>
              </w:rPr>
              <w:t>.</w:t>
            </w:r>
          </w:p>
          <w:p w:rsidR="00D05940" w:rsidRPr="00295236" w:rsidP="00297C6F">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Lower amounts of POP substances in articles, including consumer articles, potentially resulting in reduced exposure and lower health risk to the general population</w:t>
            </w:r>
            <w:r w:rsidR="00712761">
              <w:rPr>
                <w:rFonts w:ascii="Arial" w:hAnsi="Arial" w:cs="Arial"/>
                <w:color w:val="000080"/>
                <w:sz w:val="20"/>
                <w:szCs w:val="20"/>
              </w:rPr>
              <w:t xml:space="preserve"> (i.e. reduced exposure to flame retardants, pesticides or fluorinate</w:t>
            </w:r>
            <w:r w:rsidR="007E0B38">
              <w:rPr>
                <w:rFonts w:ascii="Arial" w:hAnsi="Arial" w:cs="Arial"/>
                <w:color w:val="000080"/>
                <w:sz w:val="20"/>
                <w:szCs w:val="20"/>
              </w:rPr>
              <w:t>d</w:t>
            </w:r>
            <w:r w:rsidR="00712761">
              <w:rPr>
                <w:rFonts w:ascii="Arial" w:hAnsi="Arial" w:cs="Arial"/>
                <w:color w:val="000080"/>
                <w:sz w:val="20"/>
                <w:szCs w:val="20"/>
              </w:rPr>
              <w:t xml:space="preserve"> substances, either directly or via the environment)</w:t>
            </w:r>
            <w:r>
              <w:rPr>
                <w:rFonts w:ascii="Arial" w:hAnsi="Arial" w:cs="Arial"/>
                <w:color w:val="000080"/>
                <w:sz w:val="20"/>
                <w:szCs w:val="20"/>
              </w:rPr>
              <w:t xml:space="preserve">. </w:t>
            </w:r>
          </w:p>
        </w:tc>
      </w:tr>
      <w:tr w:rsidTr="00203E25">
        <w:tblPrEx>
          <w:tblW w:w="10314" w:type="dxa"/>
          <w:tblLook w:val="01E0"/>
        </w:tblPrEx>
        <w:tc>
          <w:tcPr>
            <w:tcW w:w="10314" w:type="dxa"/>
            <w:tcBorders>
              <w:bottom w:val="single" w:sz="4" w:space="0" w:color="auto"/>
            </w:tcBorders>
            <w:shd w:val="clear" w:color="auto" w:fill="E6E6E6"/>
          </w:tcPr>
          <w:p w:rsidR="00D05940" w:rsidRPr="00577C04" w:rsidP="00D05940">
            <w:pPr>
              <w:spacing w:before="60"/>
              <w:jc w:val="both"/>
              <w:rPr>
                <w:rFonts w:ascii="Arial" w:hAnsi="Arial" w:cs="Arial"/>
                <w:b/>
                <w:sz w:val="20"/>
                <w:szCs w:val="20"/>
              </w:rPr>
            </w:pPr>
            <w:r>
              <w:rPr>
                <w:rFonts w:ascii="Arial" w:hAnsi="Arial" w:cs="Arial"/>
                <w:b/>
                <w:sz w:val="20"/>
                <w:szCs w:val="20"/>
              </w:rPr>
              <w:t>Likely</w:t>
            </w:r>
            <w:r w:rsidRPr="00C9010B">
              <w:rPr>
                <w:rFonts w:ascii="Arial" w:hAnsi="Arial" w:cs="Arial"/>
                <w:b/>
                <w:sz w:val="20"/>
                <w:szCs w:val="20"/>
              </w:rPr>
              <w:t xml:space="preserve"> environmental impacts</w:t>
            </w:r>
          </w:p>
        </w:tc>
      </w:tr>
      <w:tr w:rsidTr="00203E25">
        <w:tblPrEx>
          <w:tblW w:w="10314" w:type="dxa"/>
          <w:tblLook w:val="01E0"/>
        </w:tblPrEx>
        <w:tc>
          <w:tcPr>
            <w:tcW w:w="10314" w:type="dxa"/>
            <w:tcBorders>
              <w:bottom w:val="single" w:sz="4" w:space="0" w:color="auto"/>
            </w:tcBorders>
            <w:shd w:val="clear" w:color="auto" w:fill="auto"/>
          </w:tcPr>
          <w:p w:rsidR="00A55016" w:rsidP="00D05940">
            <w:pPr>
              <w:spacing w:before="120"/>
              <w:jc w:val="both"/>
              <w:rPr>
                <w:rFonts w:ascii="Arial" w:hAnsi="Arial" w:cs="Arial"/>
                <w:i/>
                <w:color w:val="00B050"/>
                <w:sz w:val="20"/>
                <w:szCs w:val="20"/>
                <w:u w:val="single"/>
              </w:rPr>
            </w:pPr>
            <w:r>
              <w:rPr>
                <w:rFonts w:ascii="Arial" w:hAnsi="Arial" w:cs="Arial"/>
                <w:color w:val="000080"/>
                <w:sz w:val="20"/>
                <w:szCs w:val="20"/>
              </w:rPr>
              <w:t xml:space="preserve">Lower limit values will </w:t>
            </w:r>
            <w:r w:rsidR="00D36D89">
              <w:rPr>
                <w:rFonts w:ascii="Arial" w:hAnsi="Arial" w:cs="Arial"/>
                <w:color w:val="000080"/>
                <w:sz w:val="20"/>
                <w:szCs w:val="20"/>
              </w:rPr>
              <w:t xml:space="preserve">generally </w:t>
            </w:r>
            <w:r>
              <w:rPr>
                <w:rFonts w:ascii="Arial" w:hAnsi="Arial" w:cs="Arial"/>
                <w:color w:val="000080"/>
                <w:sz w:val="20"/>
                <w:szCs w:val="20"/>
              </w:rPr>
              <w:t>reduce the amount of material recycled, resulting in more of it being destroyed, potentially resulting in:</w:t>
            </w:r>
          </w:p>
          <w:p w:rsidR="00930368" w:rsidRPr="00930368" w:rsidP="00930368">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Loss of raw materials that have to be substituted by primary material</w:t>
            </w:r>
            <w:r w:rsidR="005C471D">
              <w:rPr>
                <w:rFonts w:ascii="Arial" w:hAnsi="Arial" w:cs="Arial"/>
                <w:color w:val="000080"/>
                <w:sz w:val="20"/>
                <w:szCs w:val="20"/>
              </w:rPr>
              <w:t xml:space="preserve"> that has to be extracted or synthesised</w:t>
            </w:r>
            <w:r>
              <w:rPr>
                <w:rFonts w:ascii="Arial" w:hAnsi="Arial" w:cs="Arial"/>
                <w:color w:val="000080"/>
                <w:sz w:val="20"/>
                <w:szCs w:val="20"/>
              </w:rPr>
              <w:t xml:space="preserve">. </w:t>
            </w:r>
            <w:r>
              <w:rPr>
                <w:rFonts w:ascii="Arial" w:hAnsi="Arial" w:cs="Arial"/>
                <w:color w:val="000080"/>
                <w:sz w:val="20"/>
                <w:szCs w:val="20"/>
              </w:rPr>
              <w:t xml:space="preserve">This results in increased use of energy and resources to produce primary material and may </w:t>
            </w:r>
            <w:r w:rsidR="005C471D">
              <w:rPr>
                <w:rFonts w:ascii="Arial" w:hAnsi="Arial" w:cs="Arial"/>
                <w:color w:val="000080"/>
                <w:sz w:val="20"/>
                <w:szCs w:val="20"/>
              </w:rPr>
              <w:t xml:space="preserve">also </w:t>
            </w:r>
            <w:r>
              <w:rPr>
                <w:rFonts w:ascii="Arial" w:hAnsi="Arial" w:cs="Arial"/>
                <w:color w:val="000080"/>
                <w:sz w:val="20"/>
                <w:szCs w:val="20"/>
              </w:rPr>
              <w:t>increase dependence on imported goods.</w:t>
            </w:r>
          </w:p>
          <w:p w:rsidR="00A55016" w:rsidRPr="00930368" w:rsidP="00930368">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Net increase in greenhouse gas emissions as a result of incineration of waste and from additional energy requirements to manufacture and transport substitute primary material</w:t>
            </w:r>
            <w:r w:rsidR="00811F44">
              <w:rPr>
                <w:rFonts w:ascii="Arial" w:hAnsi="Arial" w:cs="Arial"/>
                <w:color w:val="000080"/>
                <w:sz w:val="20"/>
                <w:szCs w:val="20"/>
              </w:rPr>
              <w:t xml:space="preserve"> (magnitude and distribution in time will be estimated to the extent possible)</w:t>
            </w:r>
            <w:r>
              <w:rPr>
                <w:rFonts w:ascii="Arial" w:hAnsi="Arial" w:cs="Arial"/>
                <w:color w:val="000080"/>
                <w:sz w:val="20"/>
                <w:szCs w:val="20"/>
              </w:rPr>
              <w:t xml:space="preserve">. Potentially negative climate impact. </w:t>
            </w:r>
          </w:p>
          <w:p w:rsidR="00930368" w:rsidRPr="00930368" w:rsidP="00930368">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 xml:space="preserve">Potential increase in environmental emissions </w:t>
            </w:r>
            <w:r w:rsidR="00AF4469">
              <w:rPr>
                <w:rFonts w:ascii="Arial" w:hAnsi="Arial" w:cs="Arial"/>
                <w:color w:val="000080"/>
                <w:sz w:val="20"/>
                <w:szCs w:val="20"/>
              </w:rPr>
              <w:t xml:space="preserve">of </w:t>
            </w:r>
            <w:r w:rsidR="00F75385">
              <w:rPr>
                <w:rFonts w:ascii="Arial" w:hAnsi="Arial" w:cs="Arial"/>
                <w:color w:val="000080"/>
                <w:sz w:val="20"/>
                <w:szCs w:val="20"/>
              </w:rPr>
              <w:t xml:space="preserve">hazardous </w:t>
            </w:r>
            <w:r w:rsidR="00AF4469">
              <w:rPr>
                <w:rFonts w:ascii="Arial" w:hAnsi="Arial" w:cs="Arial"/>
                <w:color w:val="000080"/>
                <w:sz w:val="20"/>
                <w:szCs w:val="20"/>
              </w:rPr>
              <w:t xml:space="preserve">substances </w:t>
            </w:r>
            <w:r>
              <w:rPr>
                <w:rFonts w:ascii="Arial" w:hAnsi="Arial" w:cs="Arial"/>
                <w:color w:val="000080"/>
                <w:sz w:val="20"/>
                <w:szCs w:val="20"/>
              </w:rPr>
              <w:t xml:space="preserve">associated </w:t>
            </w:r>
            <w:r w:rsidR="004A0EDD">
              <w:rPr>
                <w:rFonts w:ascii="Arial" w:hAnsi="Arial" w:cs="Arial"/>
                <w:color w:val="000080"/>
                <w:sz w:val="20"/>
                <w:szCs w:val="20"/>
              </w:rPr>
              <w:t>with</w:t>
            </w:r>
            <w:r>
              <w:rPr>
                <w:rFonts w:ascii="Arial" w:hAnsi="Arial" w:cs="Arial"/>
                <w:color w:val="000080"/>
                <w:sz w:val="20"/>
                <w:szCs w:val="20"/>
              </w:rPr>
              <w:t xml:space="preserve"> waste disposal (</w:t>
            </w:r>
            <w:r w:rsidR="004525A6">
              <w:rPr>
                <w:rFonts w:ascii="Arial" w:hAnsi="Arial" w:cs="Arial"/>
                <w:color w:val="000080"/>
                <w:sz w:val="20"/>
                <w:szCs w:val="20"/>
              </w:rPr>
              <w:t>e.g.</w:t>
            </w:r>
            <w:r>
              <w:rPr>
                <w:rFonts w:ascii="Arial" w:hAnsi="Arial" w:cs="Arial"/>
                <w:color w:val="000080"/>
                <w:sz w:val="20"/>
                <w:szCs w:val="20"/>
              </w:rPr>
              <w:t xml:space="preserve"> via incineration or landfill).</w:t>
            </w:r>
          </w:p>
          <w:p w:rsidR="00930368" w:rsidRPr="00930368" w:rsidP="00930368">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 xml:space="preserve">Reduction in direct emissions of POP substances during recycling activities and during service life of POP containing recycled materials and articles made thereof. </w:t>
            </w:r>
          </w:p>
          <w:p w:rsidR="00D05940" w:rsidRPr="00930368" w:rsidP="00930368">
            <w:pPr>
              <w:pStyle w:val="ListParagraph"/>
              <w:numPr>
                <w:ilvl w:val="0"/>
                <w:numId w:val="17"/>
              </w:numPr>
              <w:spacing w:before="60" w:after="60"/>
              <w:jc w:val="both"/>
              <w:rPr>
                <w:rFonts w:ascii="Arial" w:hAnsi="Arial" w:cs="Arial"/>
                <w:color w:val="000080"/>
                <w:sz w:val="20"/>
                <w:szCs w:val="20"/>
              </w:rPr>
            </w:pPr>
            <w:r>
              <w:rPr>
                <w:rFonts w:ascii="Arial" w:hAnsi="Arial" w:cs="Arial"/>
                <w:color w:val="000080"/>
                <w:sz w:val="20"/>
                <w:szCs w:val="20"/>
              </w:rPr>
              <w:t xml:space="preserve">As a consequence of reduced POP emissions, increased protection of water, soil and air and increased protection of biodiversity, flora and fauna. </w:t>
            </w:r>
          </w:p>
        </w:tc>
      </w:tr>
      <w:tr w:rsidTr="00203E25">
        <w:tblPrEx>
          <w:tblW w:w="10314" w:type="dxa"/>
          <w:tblLook w:val="01E0"/>
        </w:tblPrEx>
        <w:tc>
          <w:tcPr>
            <w:tcW w:w="10314" w:type="dxa"/>
            <w:tcBorders>
              <w:bottom w:val="single" w:sz="4" w:space="0" w:color="auto"/>
            </w:tcBorders>
            <w:shd w:val="clear" w:color="auto" w:fill="E6E6E6"/>
          </w:tcPr>
          <w:p w:rsidR="00D05940" w:rsidRPr="00577C04" w:rsidP="00D05940">
            <w:pPr>
              <w:spacing w:before="60"/>
              <w:jc w:val="both"/>
              <w:rPr>
                <w:rFonts w:ascii="Arial" w:hAnsi="Arial" w:cs="Arial"/>
                <w:b/>
                <w:sz w:val="20"/>
                <w:szCs w:val="20"/>
              </w:rPr>
            </w:pPr>
            <w:r>
              <w:rPr>
                <w:rFonts w:ascii="Arial" w:hAnsi="Arial" w:cs="Arial"/>
                <w:b/>
                <w:sz w:val="20"/>
                <w:szCs w:val="20"/>
              </w:rPr>
              <w:t>Likely impacts on fundamental rights</w:t>
            </w:r>
          </w:p>
        </w:tc>
      </w:tr>
      <w:tr w:rsidTr="0016574E">
        <w:tblPrEx>
          <w:tblW w:w="10314" w:type="dxa"/>
          <w:tblLook w:val="01E0"/>
        </w:tblPrEx>
        <w:tc>
          <w:tcPr>
            <w:tcW w:w="10314" w:type="dxa"/>
            <w:tcBorders>
              <w:bottom w:val="single" w:sz="4" w:space="0" w:color="auto"/>
            </w:tcBorders>
            <w:shd w:val="clear" w:color="auto" w:fill="auto"/>
          </w:tcPr>
          <w:p w:rsidR="00D05940" w:rsidRPr="00A8323E" w:rsidP="007E0B38">
            <w:pPr>
              <w:spacing w:before="60" w:after="120"/>
              <w:jc w:val="both"/>
              <w:rPr>
                <w:rFonts w:ascii="Arial" w:hAnsi="Arial" w:cs="Arial"/>
                <w:color w:val="000080"/>
                <w:sz w:val="20"/>
                <w:szCs w:val="20"/>
              </w:rPr>
            </w:pPr>
            <w:r w:rsidRPr="00A8323E">
              <w:rPr>
                <w:rFonts w:ascii="Arial" w:hAnsi="Arial" w:cs="Arial"/>
                <w:color w:val="000080"/>
                <w:sz w:val="20"/>
                <w:szCs w:val="20"/>
              </w:rPr>
              <w:t xml:space="preserve">A reduction in overall emissions </w:t>
            </w:r>
            <w:r>
              <w:rPr>
                <w:rFonts w:ascii="Arial" w:hAnsi="Arial" w:cs="Arial"/>
                <w:color w:val="000080"/>
                <w:sz w:val="20"/>
                <w:szCs w:val="20"/>
              </w:rPr>
              <w:t xml:space="preserve">of POP substances and its contribution towards achieving a zero-pollution Europe </w:t>
            </w:r>
            <w:r w:rsidR="007E0B38">
              <w:rPr>
                <w:rFonts w:ascii="Arial" w:hAnsi="Arial" w:cs="Arial"/>
                <w:color w:val="000080"/>
                <w:sz w:val="20"/>
                <w:szCs w:val="20"/>
              </w:rPr>
              <w:t>will have a role in</w:t>
            </w:r>
            <w:r>
              <w:rPr>
                <w:rFonts w:ascii="Arial" w:hAnsi="Arial" w:cs="Arial"/>
                <w:color w:val="000080"/>
                <w:sz w:val="20"/>
                <w:szCs w:val="20"/>
              </w:rPr>
              <w:t xml:space="preserve"> effectively providing access to clean water and air and, overall to a healthy living environment.</w:t>
            </w:r>
          </w:p>
        </w:tc>
      </w:tr>
      <w:tr w:rsidTr="00203E25">
        <w:tblPrEx>
          <w:tblW w:w="10314" w:type="dxa"/>
          <w:tblLook w:val="01E0"/>
        </w:tblPrEx>
        <w:tc>
          <w:tcPr>
            <w:tcW w:w="10314" w:type="dxa"/>
            <w:tcBorders>
              <w:bottom w:val="single" w:sz="4" w:space="0" w:color="auto"/>
            </w:tcBorders>
            <w:shd w:val="clear" w:color="auto" w:fill="E6E6E6"/>
          </w:tcPr>
          <w:p w:rsidR="00D05940" w:rsidP="00D05940">
            <w:pPr>
              <w:spacing w:before="60"/>
              <w:jc w:val="both"/>
              <w:rPr>
                <w:rFonts w:ascii="Arial" w:hAnsi="Arial" w:cs="Arial"/>
                <w:b/>
                <w:sz w:val="20"/>
                <w:szCs w:val="20"/>
              </w:rPr>
            </w:pPr>
            <w:r>
              <w:rPr>
                <w:rFonts w:ascii="Arial" w:hAnsi="Arial" w:cs="Arial"/>
                <w:b/>
                <w:sz w:val="20"/>
                <w:szCs w:val="20"/>
              </w:rPr>
              <w:t xml:space="preserve">Likely impacts on </w:t>
            </w:r>
            <w:r w:rsidRPr="00C9010B">
              <w:rPr>
                <w:rFonts w:ascii="Arial" w:hAnsi="Arial" w:cs="Arial"/>
                <w:b/>
                <w:sz w:val="20"/>
                <w:szCs w:val="20"/>
              </w:rPr>
              <w:t>simplification</w:t>
            </w:r>
            <w:r>
              <w:rPr>
                <w:rFonts w:ascii="Arial" w:hAnsi="Arial" w:cs="Arial"/>
                <w:b/>
                <w:sz w:val="20"/>
                <w:szCs w:val="20"/>
              </w:rPr>
              <w:t xml:space="preserve"> and/or administrative burden</w:t>
            </w:r>
          </w:p>
        </w:tc>
      </w:tr>
      <w:tr w:rsidTr="00203E25">
        <w:tblPrEx>
          <w:tblW w:w="10314" w:type="dxa"/>
          <w:tblLook w:val="01E0"/>
        </w:tblPrEx>
        <w:tc>
          <w:tcPr>
            <w:tcW w:w="10314" w:type="dxa"/>
            <w:tcBorders>
              <w:top w:val="single" w:sz="4" w:space="0" w:color="auto"/>
              <w:left w:val="single" w:sz="4" w:space="0" w:color="auto"/>
              <w:bottom w:val="single" w:sz="4" w:space="0" w:color="auto"/>
              <w:right w:val="single" w:sz="4" w:space="0" w:color="auto"/>
            </w:tcBorders>
            <w:shd w:val="clear" w:color="auto" w:fill="auto"/>
          </w:tcPr>
          <w:p w:rsidR="00A8323E" w:rsidP="00D05940">
            <w:pPr>
              <w:spacing w:before="60" w:after="60"/>
              <w:jc w:val="both"/>
              <w:rPr>
                <w:rFonts w:ascii="Arial" w:hAnsi="Arial" w:cs="Arial"/>
                <w:color w:val="000080"/>
                <w:sz w:val="20"/>
                <w:szCs w:val="20"/>
              </w:rPr>
            </w:pPr>
            <w:r w:rsidRPr="00A8323E">
              <w:rPr>
                <w:rFonts w:ascii="Arial" w:hAnsi="Arial" w:cs="Arial"/>
                <w:color w:val="000080"/>
                <w:sz w:val="20"/>
                <w:szCs w:val="20"/>
              </w:rPr>
              <w:t xml:space="preserve">The listing of new substances in Annex IV </w:t>
            </w:r>
            <w:r w:rsidR="00A932D6">
              <w:rPr>
                <w:rFonts w:ascii="Arial" w:hAnsi="Arial" w:cs="Arial"/>
                <w:color w:val="000080"/>
                <w:sz w:val="20"/>
                <w:szCs w:val="20"/>
              </w:rPr>
              <w:t xml:space="preserve">will </w:t>
            </w:r>
            <w:r w:rsidR="00F4424A">
              <w:rPr>
                <w:rFonts w:ascii="Arial" w:hAnsi="Arial" w:cs="Arial"/>
                <w:color w:val="000080"/>
                <w:sz w:val="20"/>
                <w:szCs w:val="20"/>
              </w:rPr>
              <w:t xml:space="preserve">likely </w:t>
            </w:r>
            <w:r w:rsidR="00A932D6">
              <w:rPr>
                <w:rFonts w:ascii="Arial" w:hAnsi="Arial" w:cs="Arial"/>
                <w:color w:val="000080"/>
                <w:sz w:val="20"/>
                <w:szCs w:val="20"/>
              </w:rPr>
              <w:t xml:space="preserve">result in an increased administrative burden to waste producers, waste operators and public administrations responsible for waste in the sense </w:t>
            </w:r>
            <w:r w:rsidR="00AF4469">
              <w:rPr>
                <w:rFonts w:ascii="Arial" w:hAnsi="Arial" w:cs="Arial"/>
                <w:color w:val="000080"/>
                <w:sz w:val="20"/>
                <w:szCs w:val="20"/>
              </w:rPr>
              <w:t>of</w:t>
            </w:r>
            <w:r w:rsidR="00A932D6">
              <w:rPr>
                <w:rFonts w:ascii="Arial" w:hAnsi="Arial" w:cs="Arial"/>
                <w:color w:val="000080"/>
                <w:sz w:val="20"/>
                <w:szCs w:val="20"/>
              </w:rPr>
              <w:t>:</w:t>
            </w:r>
          </w:p>
          <w:p w:rsidR="00A932D6" w:rsidP="00A932D6">
            <w:pPr>
              <w:pStyle w:val="ListParagraph"/>
              <w:numPr>
                <w:ilvl w:val="0"/>
                <w:numId w:val="19"/>
              </w:numPr>
              <w:spacing w:before="60" w:after="60"/>
              <w:jc w:val="both"/>
              <w:rPr>
                <w:rFonts w:ascii="Arial" w:hAnsi="Arial" w:cs="Arial"/>
                <w:color w:val="000080"/>
                <w:sz w:val="20"/>
                <w:szCs w:val="20"/>
              </w:rPr>
            </w:pPr>
            <w:r>
              <w:rPr>
                <w:rFonts w:ascii="Arial" w:hAnsi="Arial" w:cs="Arial"/>
                <w:color w:val="000080"/>
                <w:sz w:val="20"/>
                <w:szCs w:val="20"/>
              </w:rPr>
              <w:t xml:space="preserve">Increased obligations for waste producers and operators in terms of </w:t>
            </w:r>
            <w:r w:rsidR="00000155">
              <w:rPr>
                <w:rFonts w:ascii="Arial" w:hAnsi="Arial" w:cs="Arial"/>
                <w:color w:val="000080"/>
                <w:sz w:val="20"/>
                <w:szCs w:val="20"/>
              </w:rPr>
              <w:t xml:space="preserve">increased </w:t>
            </w:r>
            <w:r>
              <w:rPr>
                <w:rFonts w:ascii="Arial" w:hAnsi="Arial" w:cs="Arial"/>
                <w:color w:val="000080"/>
                <w:sz w:val="20"/>
                <w:szCs w:val="20"/>
              </w:rPr>
              <w:t>amount of chemical analysis / monitoring</w:t>
            </w:r>
            <w:r w:rsidR="00000155">
              <w:rPr>
                <w:rFonts w:ascii="Arial" w:hAnsi="Arial" w:cs="Arial"/>
                <w:color w:val="000080"/>
                <w:sz w:val="20"/>
                <w:szCs w:val="20"/>
              </w:rPr>
              <w:t xml:space="preserve"> of new substances</w:t>
            </w:r>
          </w:p>
          <w:p w:rsidR="00A932D6" w:rsidRPr="00A932D6" w:rsidP="00A932D6">
            <w:pPr>
              <w:pStyle w:val="ListParagraph"/>
              <w:numPr>
                <w:ilvl w:val="0"/>
                <w:numId w:val="19"/>
              </w:numPr>
              <w:spacing w:before="60" w:after="60"/>
              <w:jc w:val="both"/>
              <w:rPr>
                <w:rFonts w:ascii="Arial" w:hAnsi="Arial" w:cs="Arial"/>
                <w:color w:val="000080"/>
                <w:sz w:val="20"/>
                <w:szCs w:val="20"/>
              </w:rPr>
            </w:pPr>
            <w:r>
              <w:rPr>
                <w:rFonts w:ascii="Arial" w:hAnsi="Arial" w:cs="Arial"/>
                <w:color w:val="000080"/>
                <w:sz w:val="20"/>
                <w:szCs w:val="20"/>
              </w:rPr>
              <w:t>Increased reporting obligations for waste producers, operators and for the pubic administrations (including reporting to the European Commission).</w:t>
            </w:r>
          </w:p>
          <w:p w:rsidR="00D05940" w:rsidRPr="00A120FB" w:rsidP="00F4424A">
            <w:pPr>
              <w:spacing w:before="60" w:after="60"/>
              <w:jc w:val="both"/>
              <w:rPr>
                <w:rFonts w:ascii="Arial" w:hAnsi="Arial" w:cs="Arial"/>
                <w:i/>
                <w:color w:val="00B050"/>
                <w:sz w:val="20"/>
                <w:szCs w:val="20"/>
              </w:rPr>
            </w:pPr>
            <w:r>
              <w:rPr>
                <w:rFonts w:ascii="Arial" w:hAnsi="Arial" w:cs="Arial"/>
                <w:color w:val="000080"/>
                <w:sz w:val="20"/>
                <w:szCs w:val="20"/>
              </w:rPr>
              <w:t xml:space="preserve">The Commission has however no discretion regarding the inclusion </w:t>
            </w:r>
            <w:r w:rsidR="00F4424A">
              <w:rPr>
                <w:rFonts w:ascii="Arial" w:hAnsi="Arial" w:cs="Arial"/>
                <w:color w:val="000080"/>
                <w:sz w:val="20"/>
                <w:szCs w:val="20"/>
              </w:rPr>
              <w:t>of substances in</w:t>
            </w:r>
            <w:r>
              <w:rPr>
                <w:rFonts w:ascii="Arial" w:hAnsi="Arial" w:cs="Arial"/>
                <w:color w:val="000080"/>
                <w:sz w:val="20"/>
                <w:szCs w:val="20"/>
              </w:rPr>
              <w:t xml:space="preserve"> Annexes IV and V, which result from its obligations under the Basel Convention, nor in the obligations imposed on the different actors, already defined in the POP regulation (recast). </w:t>
            </w:r>
          </w:p>
        </w:tc>
      </w:tr>
      <w:tr w:rsidTr="007F50CF">
        <w:tblPrEx>
          <w:tblW w:w="10314" w:type="dxa"/>
          <w:tblLook w:val="01E0"/>
        </w:tblPrEx>
        <w:tc>
          <w:tcPr>
            <w:tcW w:w="10314" w:type="dxa"/>
            <w:tcBorders>
              <w:bottom w:val="single" w:sz="4" w:space="0" w:color="auto"/>
            </w:tcBorders>
            <w:shd w:val="clear" w:color="auto" w:fill="0000FF"/>
          </w:tcPr>
          <w:p w:rsidR="00D05940" w:rsidRPr="00824525" w:rsidP="00D05940">
            <w:pPr>
              <w:spacing w:before="60" w:after="60"/>
              <w:jc w:val="both"/>
              <w:rPr>
                <w:rFonts w:ascii="Arial" w:hAnsi="Arial" w:cs="Arial"/>
                <w:b/>
                <w:sz w:val="22"/>
                <w:szCs w:val="22"/>
              </w:rPr>
            </w:pPr>
            <w:r>
              <w:rPr>
                <w:rFonts w:ascii="Arial" w:hAnsi="Arial" w:cs="Arial"/>
                <w:b/>
                <w:sz w:val="22"/>
                <w:szCs w:val="22"/>
                <w:highlight w:val="blue"/>
              </w:rPr>
              <w:t>D</w:t>
            </w:r>
            <w:r w:rsidRPr="00870250">
              <w:rPr>
                <w:rFonts w:ascii="Arial" w:hAnsi="Arial" w:cs="Arial"/>
                <w:b/>
                <w:sz w:val="22"/>
                <w:szCs w:val="22"/>
                <w:highlight w:val="blue"/>
              </w:rPr>
              <w:t xml:space="preserve">. </w:t>
            </w:r>
            <w:r>
              <w:rPr>
                <w:rFonts w:ascii="Arial" w:hAnsi="Arial" w:cs="Arial"/>
                <w:b/>
                <w:sz w:val="22"/>
                <w:szCs w:val="22"/>
                <w:highlight w:val="blue"/>
              </w:rPr>
              <w:t xml:space="preserve">Evidence Base, </w:t>
            </w:r>
            <w:r w:rsidRPr="00413F64">
              <w:rPr>
                <w:rFonts w:ascii="Arial" w:hAnsi="Arial" w:cs="Arial"/>
                <w:b/>
                <w:color w:val="FFFFFF" w:themeColor="background1"/>
                <w:sz w:val="22"/>
                <w:szCs w:val="22"/>
                <w:highlight w:val="blue"/>
              </w:rPr>
              <w:t xml:space="preserve">Data </w:t>
            </w:r>
            <w:r w:rsidRPr="00413F64">
              <w:rPr>
                <w:rFonts w:ascii="Arial" w:hAnsi="Arial" w:cs="Arial"/>
                <w:b/>
                <w:color w:val="FFFFFF" w:themeColor="background1"/>
                <w:sz w:val="22"/>
                <w:szCs w:val="22"/>
                <w:highlight w:val="blue"/>
                <w:shd w:val="clear" w:color="auto" w:fill="0070C0"/>
              </w:rPr>
              <w:t>collection and Better Regulation</w:t>
            </w:r>
            <w:r w:rsidRPr="00413F64">
              <w:rPr>
                <w:rFonts w:ascii="Arial" w:hAnsi="Arial" w:cs="Arial"/>
                <w:b/>
                <w:color w:val="FFFFFF" w:themeColor="background1"/>
                <w:sz w:val="22"/>
                <w:szCs w:val="22"/>
                <w:highlight w:val="blue"/>
              </w:rPr>
              <w:t xml:space="preserve"> Instruments </w:t>
            </w:r>
          </w:p>
        </w:tc>
      </w:tr>
      <w:tr w:rsidTr="007F50CF">
        <w:tblPrEx>
          <w:tblW w:w="10314" w:type="dxa"/>
          <w:tblLook w:val="01E0"/>
        </w:tblPrEx>
        <w:tc>
          <w:tcPr>
            <w:tcW w:w="10314" w:type="dxa"/>
            <w:tcBorders>
              <w:bottom w:val="single" w:sz="4" w:space="0" w:color="auto"/>
            </w:tcBorders>
            <w:shd w:val="clear" w:color="auto" w:fill="E6E6E6"/>
          </w:tcPr>
          <w:p w:rsidR="00D05940" w:rsidRPr="00824525" w:rsidP="00D05940">
            <w:pPr>
              <w:spacing w:before="60"/>
              <w:jc w:val="both"/>
              <w:rPr>
                <w:rFonts w:ascii="Arial" w:hAnsi="Arial" w:cs="Arial"/>
                <w:i/>
                <w:sz w:val="20"/>
                <w:szCs w:val="20"/>
              </w:rPr>
            </w:pPr>
            <w:r>
              <w:rPr>
                <w:rFonts w:ascii="Arial" w:hAnsi="Arial" w:cs="Arial"/>
                <w:b/>
                <w:sz w:val="20"/>
                <w:szCs w:val="20"/>
              </w:rPr>
              <w:t>Impact assessment</w:t>
            </w:r>
          </w:p>
        </w:tc>
      </w:tr>
      <w:tr w:rsidTr="007F50CF">
        <w:tblPrEx>
          <w:tblW w:w="10314" w:type="dxa"/>
          <w:tblLook w:val="01E0"/>
        </w:tblPrEx>
        <w:tc>
          <w:tcPr>
            <w:tcW w:w="10314" w:type="dxa"/>
            <w:tcBorders>
              <w:bottom w:val="single" w:sz="4" w:space="0" w:color="auto"/>
            </w:tcBorders>
            <w:shd w:val="clear" w:color="auto" w:fill="auto"/>
          </w:tcPr>
          <w:p w:rsidR="00D05940" w:rsidRPr="008F0DBA" w:rsidP="00007E63">
            <w:pPr>
              <w:spacing w:before="60" w:after="240"/>
              <w:jc w:val="both"/>
              <w:rPr>
                <w:rFonts w:ascii="Arial" w:hAnsi="Arial" w:cs="Arial"/>
                <w:i/>
                <w:color w:val="00B050"/>
                <w:sz w:val="20"/>
                <w:szCs w:val="20"/>
              </w:rPr>
            </w:pPr>
            <w:r w:rsidRPr="0065296B">
              <w:rPr>
                <w:rFonts w:ascii="Arial" w:hAnsi="Arial" w:cs="Arial"/>
                <w:color w:val="000080"/>
                <w:sz w:val="20"/>
                <w:szCs w:val="20"/>
              </w:rPr>
              <w:t xml:space="preserve">An </w:t>
            </w:r>
            <w:r w:rsidRPr="0065296B">
              <w:rPr>
                <w:rFonts w:ascii="Arial" w:hAnsi="Arial" w:cs="Arial"/>
                <w:color w:val="000080"/>
                <w:sz w:val="20"/>
                <w:szCs w:val="20"/>
              </w:rPr>
              <w:t xml:space="preserve">impact assessment </w:t>
            </w:r>
            <w:r w:rsidR="00A763AA">
              <w:rPr>
                <w:rFonts w:ascii="Arial" w:hAnsi="Arial" w:cs="Arial"/>
                <w:color w:val="000080"/>
                <w:sz w:val="20"/>
                <w:szCs w:val="20"/>
              </w:rPr>
              <w:t>will be carried-out</w:t>
            </w:r>
            <w:r w:rsidRPr="0065296B">
              <w:rPr>
                <w:rFonts w:ascii="Arial" w:hAnsi="Arial" w:cs="Arial"/>
                <w:color w:val="000080"/>
                <w:sz w:val="20"/>
                <w:szCs w:val="20"/>
              </w:rPr>
              <w:t xml:space="preserve"> to support this initiative and to inform the Commission's decision.</w:t>
            </w:r>
            <w:r w:rsidRPr="0065296B">
              <w:rPr>
                <w:rFonts w:ascii="Arial" w:hAnsi="Arial" w:cs="Arial"/>
                <w:color w:val="000080"/>
                <w:sz w:val="20"/>
                <w:szCs w:val="20"/>
              </w:rPr>
              <w:t xml:space="preserve"> A study, </w:t>
            </w:r>
            <w:r w:rsidRPr="0065296B" w:rsidR="004C0E7B">
              <w:rPr>
                <w:rFonts w:ascii="Arial" w:hAnsi="Arial" w:cs="Arial"/>
                <w:color w:val="000080"/>
                <w:sz w:val="20"/>
                <w:szCs w:val="20"/>
              </w:rPr>
              <w:t xml:space="preserve">focusing on socio-economic and environmental impacts of the proposed measure is also in preparation to support the impact assessment. It is envisaged that the </w:t>
            </w:r>
            <w:r w:rsidR="00A763AA">
              <w:rPr>
                <w:rFonts w:ascii="Arial" w:hAnsi="Arial" w:cs="Arial"/>
                <w:color w:val="000080"/>
                <w:sz w:val="20"/>
                <w:szCs w:val="20"/>
              </w:rPr>
              <w:t xml:space="preserve">bulk of the </w:t>
            </w:r>
            <w:r w:rsidRPr="0065296B" w:rsidR="004C0E7B">
              <w:rPr>
                <w:rFonts w:ascii="Arial" w:hAnsi="Arial" w:cs="Arial"/>
                <w:color w:val="000080"/>
                <w:sz w:val="20"/>
                <w:szCs w:val="20"/>
              </w:rPr>
              <w:t xml:space="preserve">impact assessment will be carried out </w:t>
            </w:r>
            <w:r w:rsidR="00F5791A">
              <w:rPr>
                <w:rFonts w:ascii="Arial" w:hAnsi="Arial" w:cs="Arial"/>
                <w:color w:val="000080"/>
                <w:sz w:val="20"/>
                <w:szCs w:val="20"/>
              </w:rPr>
              <w:t>throughout the year</w:t>
            </w:r>
            <w:r w:rsidRPr="0065296B" w:rsidR="004C0E7B">
              <w:rPr>
                <w:rFonts w:ascii="Arial" w:hAnsi="Arial" w:cs="Arial"/>
                <w:color w:val="000080"/>
                <w:sz w:val="20"/>
                <w:szCs w:val="20"/>
              </w:rPr>
              <w:t xml:space="preserve"> 2020</w:t>
            </w:r>
            <w:r w:rsidR="00F5791A">
              <w:rPr>
                <w:rFonts w:ascii="Arial" w:hAnsi="Arial" w:cs="Arial"/>
                <w:color w:val="000080"/>
                <w:sz w:val="20"/>
                <w:szCs w:val="20"/>
              </w:rPr>
              <w:t>.</w:t>
            </w:r>
          </w:p>
        </w:tc>
      </w:tr>
      <w:tr w:rsidTr="00692C8A">
        <w:tblPrEx>
          <w:tblW w:w="10314" w:type="dxa"/>
          <w:tblLook w:val="01E0"/>
        </w:tblPrEx>
        <w:tc>
          <w:tcPr>
            <w:tcW w:w="10314" w:type="dxa"/>
            <w:tcBorders>
              <w:bottom w:val="single" w:sz="4" w:space="0" w:color="auto"/>
            </w:tcBorders>
            <w:shd w:val="clear" w:color="auto" w:fill="E6E6E6"/>
          </w:tcPr>
          <w:p w:rsidR="00D05940" w:rsidRPr="00A120FB" w:rsidP="00D05940">
            <w:pPr>
              <w:spacing w:before="60"/>
              <w:jc w:val="both"/>
              <w:rPr>
                <w:rFonts w:ascii="Arial" w:hAnsi="Arial" w:cs="Arial"/>
                <w:i/>
                <w:sz w:val="20"/>
                <w:szCs w:val="20"/>
              </w:rPr>
            </w:pPr>
            <w:r w:rsidRPr="00A120FB">
              <w:rPr>
                <w:rFonts w:ascii="Arial" w:hAnsi="Arial" w:cs="Arial"/>
                <w:b/>
                <w:sz w:val="20"/>
                <w:szCs w:val="20"/>
              </w:rPr>
              <w:t xml:space="preserve">Evidence base and data collection </w:t>
            </w:r>
            <w:r w:rsidRPr="00A120FB">
              <w:rPr>
                <w:rFonts w:ascii="Arial" w:hAnsi="Arial" w:cs="Arial"/>
                <w:sz w:val="20"/>
                <w:szCs w:val="20"/>
              </w:rPr>
              <w:t>[max 10 lines]</w:t>
            </w:r>
          </w:p>
        </w:tc>
      </w:tr>
      <w:tr w:rsidTr="00295236">
        <w:tblPrEx>
          <w:tblW w:w="10314" w:type="dxa"/>
          <w:tblLook w:val="01E0"/>
        </w:tblPrEx>
        <w:trPr>
          <w:trHeight w:val="3224"/>
        </w:trPr>
        <w:tc>
          <w:tcPr>
            <w:tcW w:w="10314" w:type="dxa"/>
            <w:tcBorders>
              <w:bottom w:val="single" w:sz="4" w:space="0" w:color="auto"/>
            </w:tcBorders>
            <w:shd w:val="clear" w:color="auto" w:fill="auto"/>
          </w:tcPr>
          <w:p w:rsidR="004F6A83" w:rsidRPr="00880F5E" w:rsidP="00880F5E">
            <w:pPr>
              <w:spacing w:before="60" w:after="240"/>
              <w:jc w:val="both"/>
              <w:rPr>
                <w:rFonts w:ascii="Arial" w:hAnsi="Arial" w:cs="Arial"/>
                <w:color w:val="000080"/>
                <w:sz w:val="20"/>
                <w:szCs w:val="20"/>
              </w:rPr>
            </w:pPr>
            <w:r>
              <w:rPr>
                <w:rFonts w:ascii="Arial" w:hAnsi="Arial" w:cs="Arial"/>
                <w:color w:val="000080"/>
                <w:sz w:val="20"/>
                <w:szCs w:val="20"/>
              </w:rPr>
              <w:t>I</w:t>
            </w:r>
            <w:r w:rsidRPr="00880F5E" w:rsidR="001E1B0B">
              <w:rPr>
                <w:rFonts w:ascii="Arial" w:hAnsi="Arial" w:cs="Arial"/>
                <w:color w:val="000080"/>
                <w:sz w:val="20"/>
                <w:szCs w:val="20"/>
              </w:rPr>
              <w:t>nformation to support the impact assessment is already available from extensive studies</w:t>
            </w:r>
            <w:r w:rsidR="003420B1">
              <w:rPr>
                <w:rFonts w:ascii="Arial" w:hAnsi="Arial" w:cs="Arial"/>
                <w:color w:val="000080"/>
                <w:sz w:val="20"/>
                <w:szCs w:val="20"/>
              </w:rPr>
              <w:t xml:space="preserve"> [</w:t>
            </w:r>
            <w:r>
              <w:fldChar w:fldCharType="begin"/>
            </w:r>
            <w:r>
              <w:instrText xml:space="preserve"> HYPERLINK "https://ec.europa.eu/environment/waste/studies/pdf/pops_waste_full_report.pdf" </w:instrText>
            </w:r>
            <w:r>
              <w:fldChar w:fldCharType="separate"/>
            </w:r>
            <w:r w:rsidRPr="00E857AE" w:rsidR="00B70A6A">
              <w:rPr>
                <w:rStyle w:val="Hyperlink"/>
                <w:rFonts w:ascii="Arial" w:hAnsi="Arial" w:cs="Arial"/>
                <w:sz w:val="20"/>
                <w:szCs w:val="20"/>
              </w:rPr>
              <w:t>20</w:t>
            </w:r>
            <w:r w:rsidR="00B70A6A">
              <w:rPr>
                <w:rStyle w:val="Hyperlink"/>
                <w:rFonts w:ascii="Arial" w:hAnsi="Arial" w:cs="Arial"/>
                <w:sz w:val="20"/>
                <w:szCs w:val="20"/>
              </w:rPr>
              <w:t>0</w:t>
            </w:r>
            <w:r w:rsidR="00C778C0">
              <w:rPr>
                <w:rStyle w:val="Hyperlink"/>
                <w:rFonts w:ascii="Arial" w:hAnsi="Arial" w:cs="Arial"/>
                <w:sz w:val="20"/>
                <w:szCs w:val="20"/>
              </w:rPr>
              <w:t>5</w:t>
            </w:r>
            <w:r>
              <w:fldChar w:fldCharType="end"/>
            </w:r>
            <w:r w:rsidR="00B70A6A">
              <w:rPr>
                <w:rFonts w:ascii="Arial" w:hAnsi="Arial" w:cs="Arial"/>
                <w:color w:val="000080"/>
                <w:sz w:val="20"/>
                <w:szCs w:val="20"/>
              </w:rPr>
              <w:t xml:space="preserve">, </w:t>
            </w:r>
            <w:r>
              <w:fldChar w:fldCharType="begin"/>
            </w:r>
            <w:r>
              <w:instrText xml:space="preserve"> HYPERLINK "http://ec.europa.eu/environment/waste/studies/pdf/POP_Waste_2010.pdf" </w:instrText>
            </w:r>
            <w:r>
              <w:fldChar w:fldCharType="separate"/>
            </w:r>
            <w:r w:rsidRPr="00E857AE" w:rsidR="00B70A6A">
              <w:rPr>
                <w:rStyle w:val="Hyperlink"/>
                <w:rFonts w:ascii="Arial" w:hAnsi="Arial" w:cs="Arial"/>
                <w:sz w:val="20"/>
                <w:szCs w:val="20"/>
              </w:rPr>
              <w:t>201</w:t>
            </w:r>
            <w:r w:rsidR="00C778C0">
              <w:rPr>
                <w:rStyle w:val="Hyperlink"/>
                <w:rFonts w:ascii="Arial" w:hAnsi="Arial" w:cs="Arial"/>
                <w:sz w:val="20"/>
                <w:szCs w:val="20"/>
              </w:rPr>
              <w:t>1</w:t>
            </w:r>
            <w:r>
              <w:fldChar w:fldCharType="end"/>
            </w:r>
            <w:r w:rsidR="00B70A6A">
              <w:rPr>
                <w:rFonts w:ascii="Arial" w:hAnsi="Arial" w:cs="Arial"/>
                <w:color w:val="000080"/>
                <w:sz w:val="20"/>
                <w:szCs w:val="20"/>
              </w:rPr>
              <w:t xml:space="preserve">, </w:t>
            </w:r>
            <w:r>
              <w:fldChar w:fldCharType="begin"/>
            </w:r>
            <w:r>
              <w:instrText xml:space="preserve"> HYPERLINK "http://ec.europa.eu/environment/waste/pdf/Study_POPS_Waste_final.pdf" </w:instrText>
            </w:r>
            <w:r>
              <w:fldChar w:fldCharType="separate"/>
            </w:r>
            <w:r w:rsidRPr="00E857AE" w:rsidR="00B70A6A">
              <w:rPr>
                <w:rStyle w:val="Hyperlink"/>
                <w:rFonts w:ascii="Arial" w:hAnsi="Arial" w:cs="Arial"/>
                <w:sz w:val="20"/>
                <w:szCs w:val="20"/>
              </w:rPr>
              <w:t>20</w:t>
            </w:r>
            <w:r w:rsidR="00B70A6A">
              <w:rPr>
                <w:rStyle w:val="Hyperlink"/>
                <w:rFonts w:ascii="Arial" w:hAnsi="Arial" w:cs="Arial"/>
                <w:sz w:val="20"/>
                <w:szCs w:val="20"/>
              </w:rPr>
              <w:t>1</w:t>
            </w:r>
            <w:r w:rsidR="00C778C0">
              <w:rPr>
                <w:rStyle w:val="Hyperlink"/>
                <w:rFonts w:ascii="Arial" w:hAnsi="Arial" w:cs="Arial"/>
                <w:sz w:val="20"/>
                <w:szCs w:val="20"/>
              </w:rPr>
              <w:t>9</w:t>
            </w:r>
            <w:r>
              <w:fldChar w:fldCharType="end"/>
            </w:r>
            <w:r w:rsidR="003420B1">
              <w:rPr>
                <w:rFonts w:ascii="Arial" w:hAnsi="Arial" w:cs="Arial"/>
                <w:color w:val="000080"/>
                <w:sz w:val="20"/>
                <w:szCs w:val="20"/>
              </w:rPr>
              <w:t>]</w:t>
            </w:r>
            <w:r w:rsidRPr="00880F5E" w:rsidR="001E1B0B">
              <w:rPr>
                <w:rFonts w:ascii="Arial" w:hAnsi="Arial" w:cs="Arial"/>
                <w:color w:val="000080"/>
                <w:sz w:val="20"/>
                <w:szCs w:val="20"/>
              </w:rPr>
              <w:t xml:space="preserve"> commissioned </w:t>
            </w:r>
            <w:r w:rsidR="00A763AA">
              <w:rPr>
                <w:rFonts w:ascii="Arial" w:hAnsi="Arial" w:cs="Arial"/>
                <w:color w:val="000080"/>
                <w:sz w:val="20"/>
                <w:szCs w:val="20"/>
              </w:rPr>
              <w:t>to support the review of limits values</w:t>
            </w:r>
            <w:r w:rsidRPr="00880F5E" w:rsidR="001E1B0B">
              <w:rPr>
                <w:rFonts w:ascii="Arial" w:hAnsi="Arial" w:cs="Arial"/>
                <w:color w:val="000080"/>
                <w:sz w:val="20"/>
                <w:szCs w:val="20"/>
              </w:rPr>
              <w:t xml:space="preserve"> in annexes IV and V of Regulation (EC)850/2004. Relevant information is also available in the </w:t>
            </w:r>
            <w:r>
              <w:fldChar w:fldCharType="begin"/>
            </w:r>
            <w:r>
              <w:instrText xml:space="preserve"> HYPERLINK "http://www.basel.int/Implementation/POPsWastes/TechnicalGuidelines/tabid/5052/Default.aspx" </w:instrText>
            </w:r>
            <w:r>
              <w:fldChar w:fldCharType="separate"/>
            </w:r>
            <w:r w:rsidRPr="003420B1" w:rsidR="001E1B0B">
              <w:rPr>
                <w:rStyle w:val="Hyperlink"/>
                <w:rFonts w:ascii="Arial" w:hAnsi="Arial" w:cs="Arial"/>
                <w:sz w:val="20"/>
                <w:szCs w:val="20"/>
              </w:rPr>
              <w:t>General Technical Guidelines</w:t>
            </w:r>
            <w:r>
              <w:fldChar w:fldCharType="end"/>
            </w:r>
            <w:r w:rsidRPr="00880F5E" w:rsidR="001E1B0B">
              <w:rPr>
                <w:rFonts w:ascii="Arial" w:hAnsi="Arial" w:cs="Arial"/>
                <w:color w:val="000080"/>
                <w:sz w:val="20"/>
                <w:szCs w:val="20"/>
              </w:rPr>
              <w:t xml:space="preserve"> published by the Basel Convention</w:t>
            </w:r>
            <w:r w:rsidRPr="00880F5E" w:rsidR="002932F3">
              <w:rPr>
                <w:rFonts w:ascii="Arial" w:hAnsi="Arial" w:cs="Arial"/>
                <w:color w:val="000080"/>
                <w:sz w:val="20"/>
                <w:szCs w:val="20"/>
              </w:rPr>
              <w:t xml:space="preserve">, and in related documents. </w:t>
            </w:r>
            <w:r w:rsidRPr="00880F5E" w:rsidR="00880F5E">
              <w:rPr>
                <w:rFonts w:ascii="Arial" w:hAnsi="Arial" w:cs="Arial"/>
                <w:color w:val="000080"/>
                <w:sz w:val="20"/>
                <w:szCs w:val="20"/>
              </w:rPr>
              <w:t xml:space="preserve">These provide information on the substances and their uses, the presence of the substances in different waste streams and associated material flows and on the fractions of waste per treatment operation and how this would change under different scenarios. </w:t>
            </w:r>
            <w:r>
              <w:rPr>
                <w:rFonts w:ascii="Arial" w:hAnsi="Arial" w:cs="Arial"/>
                <w:color w:val="000080"/>
                <w:sz w:val="20"/>
                <w:szCs w:val="20"/>
              </w:rPr>
              <w:t xml:space="preserve">Relevant information </w:t>
            </w:r>
            <w:r w:rsidR="00A763AA">
              <w:rPr>
                <w:rFonts w:ascii="Arial" w:hAnsi="Arial" w:cs="Arial"/>
                <w:color w:val="000080"/>
                <w:sz w:val="20"/>
                <w:szCs w:val="20"/>
              </w:rPr>
              <w:t>for</w:t>
            </w:r>
            <w:r w:rsidRPr="004F6A83">
              <w:rPr>
                <w:rFonts w:ascii="Arial" w:hAnsi="Arial" w:cs="Arial"/>
                <w:color w:val="000080"/>
                <w:sz w:val="20"/>
                <w:szCs w:val="20"/>
              </w:rPr>
              <w:t xml:space="preserve"> th</w:t>
            </w:r>
            <w:r>
              <w:rPr>
                <w:rFonts w:ascii="Arial" w:hAnsi="Arial" w:cs="Arial"/>
                <w:color w:val="000080"/>
                <w:sz w:val="20"/>
                <w:szCs w:val="20"/>
              </w:rPr>
              <w:t xml:space="preserve">is impact assessment is also found </w:t>
            </w:r>
            <w:r w:rsidRPr="004F6A83">
              <w:rPr>
                <w:rFonts w:ascii="Arial" w:hAnsi="Arial" w:cs="Arial"/>
                <w:color w:val="000080"/>
                <w:sz w:val="20"/>
                <w:szCs w:val="20"/>
              </w:rPr>
              <w:t xml:space="preserve">in the </w:t>
            </w:r>
            <w:r>
              <w:fldChar w:fldCharType="begin"/>
            </w:r>
            <w:r>
              <w:instrText xml:space="preserve"> HYPERLINK "https://ec.europa.eu/info/sites/info/files/summary-report-public-consultation-chemical-product-waste-legilsation.pdf" </w:instrText>
            </w:r>
            <w:r>
              <w:fldChar w:fldCharType="separate"/>
            </w:r>
            <w:r w:rsidRPr="003420B1" w:rsidR="003420B1">
              <w:rPr>
                <w:rStyle w:val="Hyperlink"/>
                <w:rFonts w:ascii="Arial" w:hAnsi="Arial" w:cs="Arial"/>
                <w:sz w:val="20"/>
                <w:szCs w:val="20"/>
              </w:rPr>
              <w:t>summary report</w:t>
            </w:r>
            <w:r>
              <w:fldChar w:fldCharType="end"/>
            </w:r>
            <w:r w:rsidR="003420B1">
              <w:rPr>
                <w:rFonts w:ascii="Arial" w:hAnsi="Arial" w:cs="Arial"/>
                <w:color w:val="000080"/>
                <w:sz w:val="20"/>
                <w:szCs w:val="20"/>
              </w:rPr>
              <w:t xml:space="preserve"> of the </w:t>
            </w:r>
            <w:r w:rsidRPr="004F6A83">
              <w:rPr>
                <w:rFonts w:ascii="Arial" w:hAnsi="Arial" w:cs="Arial"/>
                <w:color w:val="000080"/>
                <w:sz w:val="20"/>
                <w:szCs w:val="20"/>
              </w:rPr>
              <w:t>responses</w:t>
            </w:r>
            <w:r w:rsidR="003420B1">
              <w:rPr>
                <w:rFonts w:ascii="Arial" w:hAnsi="Arial" w:cs="Arial"/>
                <w:color w:val="000080"/>
                <w:sz w:val="20"/>
                <w:szCs w:val="20"/>
              </w:rPr>
              <w:t xml:space="preserve"> (specifically on issue #2)</w:t>
            </w:r>
            <w:r w:rsidRPr="004F6A83" w:rsidR="003420B1">
              <w:rPr>
                <w:rFonts w:ascii="Arial" w:hAnsi="Arial" w:cs="Arial"/>
                <w:color w:val="000080"/>
                <w:sz w:val="20"/>
                <w:szCs w:val="20"/>
              </w:rPr>
              <w:t xml:space="preserve"> </w:t>
            </w:r>
            <w:r w:rsidRPr="004F6A83">
              <w:rPr>
                <w:rFonts w:ascii="Arial" w:hAnsi="Arial" w:cs="Arial"/>
                <w:color w:val="000080"/>
                <w:sz w:val="20"/>
                <w:szCs w:val="20"/>
              </w:rPr>
              <w:t xml:space="preserve">to the open public consultation that the Commission carried out on its </w:t>
            </w:r>
            <w:r>
              <w:fldChar w:fldCharType="begin"/>
            </w:r>
            <w:r>
              <w:instrText xml:space="preserve"> HYPERLINK "https://eur-lex.europa.eu/legal-content/EN/TXT/?qid=1516265440535&amp;uri=COM:2018:32:FIN" </w:instrText>
            </w:r>
            <w:r>
              <w:fldChar w:fldCharType="separate"/>
            </w:r>
            <w:r w:rsidRPr="003420B1">
              <w:rPr>
                <w:rStyle w:val="Hyperlink"/>
                <w:rFonts w:ascii="Arial" w:hAnsi="Arial" w:cs="Arial"/>
                <w:sz w:val="20"/>
                <w:szCs w:val="20"/>
              </w:rPr>
              <w:t>Communication</w:t>
            </w:r>
            <w:r>
              <w:fldChar w:fldCharType="end"/>
            </w:r>
            <w:r w:rsidRPr="004F6A83">
              <w:rPr>
                <w:rFonts w:ascii="Arial" w:hAnsi="Arial" w:cs="Arial"/>
                <w:color w:val="000080"/>
                <w:sz w:val="20"/>
                <w:szCs w:val="20"/>
              </w:rPr>
              <w:t xml:space="preserve"> on the interface between chemical, product and waste legislation adopted in January 2018.</w:t>
            </w:r>
          </w:p>
          <w:p w:rsidR="00D05940" w:rsidRPr="00A120FB" w:rsidP="00295236">
            <w:pPr>
              <w:spacing w:before="60" w:after="240"/>
              <w:jc w:val="both"/>
              <w:rPr>
                <w:rFonts w:ascii="Arial" w:hAnsi="Arial" w:cs="Arial"/>
                <w:i/>
                <w:color w:val="1036A0"/>
                <w:sz w:val="20"/>
                <w:szCs w:val="20"/>
              </w:rPr>
            </w:pPr>
            <w:r w:rsidRPr="00880F5E">
              <w:rPr>
                <w:rFonts w:ascii="Arial" w:hAnsi="Arial" w:cs="Arial"/>
                <w:color w:val="000080"/>
                <w:sz w:val="20"/>
                <w:szCs w:val="20"/>
              </w:rPr>
              <w:t>A</w:t>
            </w:r>
            <w:r>
              <w:rPr>
                <w:rFonts w:ascii="Arial" w:hAnsi="Arial" w:cs="Arial"/>
                <w:color w:val="000080"/>
                <w:sz w:val="20"/>
                <w:szCs w:val="20"/>
              </w:rPr>
              <w:t>n additional</w:t>
            </w:r>
            <w:r w:rsidRPr="00880F5E">
              <w:rPr>
                <w:rFonts w:ascii="Arial" w:hAnsi="Arial" w:cs="Arial"/>
                <w:color w:val="000080"/>
                <w:sz w:val="20"/>
                <w:szCs w:val="20"/>
              </w:rPr>
              <w:t xml:space="preserve"> study </w:t>
            </w:r>
            <w:r w:rsidR="00007E63">
              <w:rPr>
                <w:rFonts w:ascii="Arial" w:hAnsi="Arial" w:cs="Arial"/>
                <w:color w:val="000080"/>
                <w:sz w:val="20"/>
                <w:szCs w:val="20"/>
              </w:rPr>
              <w:t xml:space="preserve">was </w:t>
            </w:r>
            <w:r w:rsidRPr="00880F5E">
              <w:rPr>
                <w:rFonts w:ascii="Arial" w:hAnsi="Arial" w:cs="Arial"/>
                <w:color w:val="000080"/>
                <w:sz w:val="20"/>
                <w:szCs w:val="20"/>
              </w:rPr>
              <w:t xml:space="preserve">commissioned </w:t>
            </w:r>
            <w:r w:rsidR="00007E63">
              <w:rPr>
                <w:rFonts w:ascii="Arial" w:hAnsi="Arial" w:cs="Arial"/>
                <w:color w:val="000080"/>
                <w:sz w:val="20"/>
                <w:szCs w:val="20"/>
              </w:rPr>
              <w:t xml:space="preserve">in December </w:t>
            </w:r>
            <w:r>
              <w:rPr>
                <w:rFonts w:ascii="Arial" w:hAnsi="Arial" w:cs="Arial"/>
                <w:color w:val="000080"/>
                <w:sz w:val="20"/>
                <w:szCs w:val="20"/>
              </w:rPr>
              <w:t xml:space="preserve">2019 </w:t>
            </w:r>
            <w:r w:rsidRPr="00880F5E">
              <w:rPr>
                <w:rFonts w:ascii="Arial" w:hAnsi="Arial" w:cs="Arial"/>
                <w:color w:val="000080"/>
                <w:sz w:val="20"/>
                <w:szCs w:val="20"/>
              </w:rPr>
              <w:t>in order to complete knowledge gaps which remain, relative to the relevant POP substances and in particular to provide an enhanced assessment, with quantified costs and benefits, to the extent possible, of the environmental, social and economic impacts of the different options considered (associated to the setting of different limits values for the different substances).</w:t>
            </w:r>
          </w:p>
        </w:tc>
      </w:tr>
      <w:tr w:rsidTr="007F50CF">
        <w:tblPrEx>
          <w:tblW w:w="10314" w:type="dxa"/>
          <w:tblLook w:val="01E0"/>
        </w:tblPrEx>
        <w:tc>
          <w:tcPr>
            <w:tcW w:w="10314" w:type="dxa"/>
            <w:tcBorders>
              <w:bottom w:val="single" w:sz="4" w:space="0" w:color="auto"/>
            </w:tcBorders>
            <w:shd w:val="clear" w:color="auto" w:fill="E6E6E6"/>
          </w:tcPr>
          <w:p w:rsidR="00D05940" w:rsidRPr="00824525" w:rsidP="00E124A8">
            <w:pPr>
              <w:spacing w:before="60" w:after="60"/>
              <w:jc w:val="both"/>
              <w:rPr>
                <w:rFonts w:ascii="Arial" w:hAnsi="Arial" w:cs="Arial"/>
                <w:sz w:val="20"/>
                <w:szCs w:val="20"/>
              </w:rPr>
            </w:pPr>
            <w:r w:rsidRPr="00824525">
              <w:rPr>
                <w:rFonts w:ascii="Arial" w:hAnsi="Arial" w:cs="Arial"/>
                <w:b/>
                <w:sz w:val="20"/>
                <w:szCs w:val="20"/>
              </w:rPr>
              <w:t>Consultation</w:t>
            </w:r>
            <w:r>
              <w:rPr>
                <w:rFonts w:ascii="Arial" w:hAnsi="Arial" w:cs="Arial"/>
                <w:b/>
                <w:sz w:val="20"/>
                <w:szCs w:val="20"/>
              </w:rPr>
              <w:t xml:space="preserve">  of citizens and stakeholders</w:t>
            </w:r>
          </w:p>
        </w:tc>
      </w:tr>
      <w:tr w:rsidTr="007F50CF">
        <w:tblPrEx>
          <w:tblW w:w="10314" w:type="dxa"/>
          <w:tblLook w:val="01E0"/>
        </w:tblPrEx>
        <w:tc>
          <w:tcPr>
            <w:tcW w:w="10314" w:type="dxa"/>
            <w:tcBorders>
              <w:bottom w:val="single" w:sz="4" w:space="0" w:color="auto"/>
            </w:tcBorders>
            <w:shd w:val="clear" w:color="auto" w:fill="auto"/>
          </w:tcPr>
          <w:p w:rsidR="006073D2" w:rsidP="006073D2">
            <w:pPr>
              <w:spacing w:before="60" w:after="60"/>
              <w:jc w:val="both"/>
              <w:rPr>
                <w:rFonts w:ascii="Arial" w:hAnsi="Arial" w:cs="Arial"/>
                <w:color w:val="1036A0"/>
                <w:sz w:val="20"/>
                <w:szCs w:val="20"/>
                <w:lang w:val="en-IE"/>
              </w:rPr>
            </w:pPr>
            <w:r>
              <w:rPr>
                <w:rFonts w:ascii="Arial" w:hAnsi="Arial" w:cs="Arial"/>
                <w:color w:val="1036A0"/>
                <w:sz w:val="20"/>
                <w:szCs w:val="20"/>
                <w:lang w:val="en-IE"/>
              </w:rPr>
              <w:t xml:space="preserve">The aim of the consultation is </w:t>
            </w:r>
            <w:r w:rsidR="004A0EDD">
              <w:rPr>
                <w:rFonts w:ascii="Arial" w:hAnsi="Arial" w:cs="Arial"/>
                <w:color w:val="1036A0"/>
                <w:sz w:val="20"/>
                <w:szCs w:val="20"/>
                <w:lang w:val="en-IE"/>
              </w:rPr>
              <w:t xml:space="preserve">to </w:t>
            </w:r>
            <w:r>
              <w:rPr>
                <w:rFonts w:ascii="Arial" w:hAnsi="Arial" w:cs="Arial"/>
                <w:color w:val="1036A0"/>
                <w:sz w:val="20"/>
                <w:szCs w:val="20"/>
                <w:lang w:val="en-IE"/>
              </w:rPr>
              <w:t xml:space="preserve">obtain information on all possible environmental, social and economic impacts </w:t>
            </w:r>
            <w:r w:rsidR="005F541D">
              <w:rPr>
                <w:rFonts w:ascii="Arial" w:hAnsi="Arial" w:cs="Arial"/>
                <w:color w:val="1036A0"/>
                <w:sz w:val="20"/>
                <w:szCs w:val="20"/>
                <w:lang w:val="en-IE"/>
              </w:rPr>
              <w:t xml:space="preserve">on the different stakeholders concerned </w:t>
            </w:r>
            <w:r>
              <w:rPr>
                <w:rFonts w:ascii="Arial" w:hAnsi="Arial" w:cs="Arial"/>
                <w:color w:val="1036A0"/>
                <w:sz w:val="20"/>
                <w:szCs w:val="20"/>
                <w:lang w:val="en-IE"/>
              </w:rPr>
              <w:t xml:space="preserve">that could result from the inclusion of substances in Annexes IV and V of the POP regulation and of the consequences </w:t>
            </w:r>
            <w:r w:rsidR="004A0EDD">
              <w:rPr>
                <w:rFonts w:ascii="Arial" w:hAnsi="Arial" w:cs="Arial"/>
                <w:color w:val="1036A0"/>
                <w:sz w:val="20"/>
                <w:szCs w:val="20"/>
                <w:lang w:val="en-IE"/>
              </w:rPr>
              <w:t xml:space="preserve">of </w:t>
            </w:r>
            <w:r>
              <w:rPr>
                <w:rFonts w:ascii="Arial" w:hAnsi="Arial" w:cs="Arial"/>
                <w:color w:val="1036A0"/>
                <w:sz w:val="20"/>
                <w:szCs w:val="20"/>
                <w:lang w:val="en-IE"/>
              </w:rPr>
              <w:t>intr</w:t>
            </w:r>
            <w:r w:rsidR="00DF4E51">
              <w:rPr>
                <w:rFonts w:ascii="Arial" w:hAnsi="Arial" w:cs="Arial"/>
                <w:color w:val="1036A0"/>
                <w:sz w:val="20"/>
                <w:szCs w:val="20"/>
                <w:lang w:val="en-IE"/>
              </w:rPr>
              <w:t>oduc</w:t>
            </w:r>
            <w:r>
              <w:rPr>
                <w:rFonts w:ascii="Arial" w:hAnsi="Arial" w:cs="Arial"/>
                <w:color w:val="1036A0"/>
                <w:sz w:val="20"/>
                <w:szCs w:val="20"/>
                <w:lang w:val="en-IE"/>
              </w:rPr>
              <w:t xml:space="preserve">ing specific limit values. </w:t>
            </w:r>
          </w:p>
          <w:p w:rsidR="006073D2" w:rsidP="006073D2">
            <w:pPr>
              <w:spacing w:before="60" w:after="60"/>
              <w:jc w:val="both"/>
              <w:rPr>
                <w:rFonts w:ascii="Arial" w:hAnsi="Arial" w:cs="Arial"/>
                <w:color w:val="1036A0"/>
                <w:sz w:val="20"/>
                <w:szCs w:val="20"/>
                <w:lang w:val="en-IE"/>
              </w:rPr>
            </w:pPr>
            <w:r>
              <w:rPr>
                <w:rFonts w:ascii="Arial" w:hAnsi="Arial" w:cs="Arial"/>
                <w:color w:val="1036A0"/>
                <w:sz w:val="20"/>
                <w:szCs w:val="20"/>
                <w:lang w:val="en-IE"/>
              </w:rPr>
              <w:t xml:space="preserve">The </w:t>
            </w:r>
            <w:r w:rsidR="005C471D">
              <w:rPr>
                <w:rFonts w:ascii="Arial" w:hAnsi="Arial" w:cs="Arial"/>
                <w:color w:val="1036A0"/>
                <w:sz w:val="20"/>
                <w:szCs w:val="20"/>
                <w:lang w:val="en-IE"/>
              </w:rPr>
              <w:t xml:space="preserve">twelve week </w:t>
            </w:r>
            <w:r w:rsidRPr="006073D2">
              <w:rPr>
                <w:rFonts w:ascii="Arial" w:hAnsi="Arial" w:cs="Arial"/>
                <w:color w:val="1036A0"/>
                <w:sz w:val="20"/>
                <w:szCs w:val="20"/>
                <w:lang w:val="en-IE"/>
              </w:rPr>
              <w:t>public consultation prescribed by the Better Regulation Guidelines of the Commission</w:t>
            </w:r>
            <w:r>
              <w:rPr>
                <w:rFonts w:ascii="Arial" w:hAnsi="Arial" w:cs="Arial"/>
                <w:color w:val="1036A0"/>
                <w:sz w:val="20"/>
                <w:szCs w:val="20"/>
                <w:lang w:val="en-IE"/>
              </w:rPr>
              <w:t xml:space="preserve"> will not be carried-out in support of this study </w:t>
            </w:r>
            <w:r w:rsidR="00995247">
              <w:rPr>
                <w:rFonts w:ascii="Arial" w:hAnsi="Arial" w:cs="Arial"/>
                <w:color w:val="1036A0"/>
                <w:sz w:val="20"/>
                <w:szCs w:val="20"/>
                <w:lang w:val="en-IE"/>
              </w:rPr>
              <w:t xml:space="preserve">because a </w:t>
            </w:r>
            <w:r w:rsidRPr="006073D2">
              <w:rPr>
                <w:rFonts w:ascii="Arial" w:hAnsi="Arial" w:cs="Arial"/>
                <w:color w:val="1036A0"/>
                <w:sz w:val="20"/>
                <w:szCs w:val="20"/>
                <w:lang w:val="en-IE"/>
              </w:rPr>
              <w:t xml:space="preserve">public consultation regarding the presence of substances of concern in recycled materials has </w:t>
            </w:r>
            <w:r w:rsidR="005F541D">
              <w:rPr>
                <w:rFonts w:ascii="Arial" w:hAnsi="Arial" w:cs="Arial"/>
                <w:color w:val="1036A0"/>
                <w:sz w:val="20"/>
                <w:szCs w:val="20"/>
                <w:lang w:val="en-IE"/>
              </w:rPr>
              <w:t>already</w:t>
            </w:r>
            <w:r w:rsidRPr="006073D2" w:rsidR="005F541D">
              <w:rPr>
                <w:rFonts w:ascii="Arial" w:hAnsi="Arial" w:cs="Arial"/>
                <w:color w:val="1036A0"/>
                <w:sz w:val="20"/>
                <w:szCs w:val="20"/>
                <w:lang w:val="en-IE"/>
              </w:rPr>
              <w:t xml:space="preserve"> </w:t>
            </w:r>
            <w:r w:rsidRPr="006073D2">
              <w:rPr>
                <w:rFonts w:ascii="Arial" w:hAnsi="Arial" w:cs="Arial"/>
                <w:color w:val="1036A0"/>
                <w:sz w:val="20"/>
                <w:szCs w:val="20"/>
                <w:lang w:val="en-IE"/>
              </w:rPr>
              <w:t>been carried out</w:t>
            </w:r>
            <w:r w:rsidR="00995247">
              <w:rPr>
                <w:rFonts w:ascii="Arial" w:hAnsi="Arial" w:cs="Arial"/>
                <w:color w:val="1036A0"/>
                <w:sz w:val="20"/>
                <w:szCs w:val="20"/>
                <w:lang w:val="en-IE"/>
              </w:rPr>
              <w:t xml:space="preserve"> addressing the broader, less technical societal concerns posed by this measure. </w:t>
            </w:r>
            <w:r w:rsidRPr="00995247" w:rsidR="00995247">
              <w:rPr>
                <w:rFonts w:ascii="Arial" w:hAnsi="Arial" w:cs="Arial"/>
                <w:color w:val="1036A0"/>
                <w:sz w:val="20"/>
                <w:szCs w:val="20"/>
                <w:lang w:val="en-IE"/>
              </w:rPr>
              <w:t xml:space="preserve">A </w:t>
            </w:r>
            <w:r>
              <w:fldChar w:fldCharType="begin"/>
            </w:r>
            <w:r>
              <w:instrText xml:space="preserve"> HYPERLINK "https://ec.europa.eu/info/sites/info/files/summary-report-public-consultation-chemical-product-waste-legilsation.pdf" </w:instrText>
            </w:r>
            <w:r>
              <w:fldChar w:fldCharType="separate"/>
            </w:r>
            <w:r w:rsidRPr="003420B1" w:rsidR="00995247">
              <w:rPr>
                <w:rStyle w:val="Hyperlink"/>
                <w:rFonts w:ascii="Arial" w:hAnsi="Arial" w:cs="Arial"/>
                <w:sz w:val="20"/>
                <w:szCs w:val="20"/>
                <w:lang w:val="en-IE"/>
              </w:rPr>
              <w:t>summary report</w:t>
            </w:r>
            <w:r>
              <w:fldChar w:fldCharType="end"/>
            </w:r>
            <w:r w:rsidRPr="00995247" w:rsidR="00995247">
              <w:rPr>
                <w:rFonts w:ascii="Arial" w:hAnsi="Arial" w:cs="Arial"/>
                <w:color w:val="1036A0"/>
                <w:sz w:val="20"/>
                <w:szCs w:val="20"/>
                <w:lang w:val="en-IE"/>
              </w:rPr>
              <w:t xml:space="preserve"> of the public consultation was published on 28 February 2019</w:t>
            </w:r>
            <w:r w:rsidR="00995247">
              <w:rPr>
                <w:rFonts w:ascii="Arial" w:hAnsi="Arial" w:cs="Arial"/>
                <w:color w:val="1036A0"/>
                <w:sz w:val="20"/>
                <w:szCs w:val="20"/>
                <w:lang w:val="en-IE"/>
              </w:rPr>
              <w:t>.</w:t>
            </w:r>
          </w:p>
          <w:p w:rsidR="00D61AC8" w:rsidP="00D61AC8">
            <w:pPr>
              <w:spacing w:before="60" w:after="60"/>
              <w:jc w:val="both"/>
              <w:rPr>
                <w:rFonts w:ascii="Arial" w:hAnsi="Arial" w:cs="Arial"/>
                <w:color w:val="1036A0"/>
                <w:sz w:val="20"/>
                <w:szCs w:val="20"/>
                <w:lang w:val="en-IE"/>
              </w:rPr>
            </w:pPr>
            <w:r>
              <w:rPr>
                <w:rFonts w:ascii="Arial" w:hAnsi="Arial" w:cs="Arial"/>
                <w:color w:val="1036A0"/>
                <w:sz w:val="20"/>
                <w:szCs w:val="20"/>
                <w:lang w:val="en-IE"/>
              </w:rPr>
              <w:t>The following</w:t>
            </w:r>
            <w:r w:rsidR="00A02D84">
              <w:rPr>
                <w:rFonts w:ascii="Arial" w:hAnsi="Arial" w:cs="Arial"/>
                <w:color w:val="1036A0"/>
                <w:sz w:val="20"/>
                <w:szCs w:val="20"/>
                <w:lang w:val="en-IE"/>
              </w:rPr>
              <w:t xml:space="preserve"> </w:t>
            </w:r>
            <w:r>
              <w:rPr>
                <w:rFonts w:ascii="Arial" w:hAnsi="Arial" w:cs="Arial"/>
                <w:color w:val="1036A0"/>
                <w:sz w:val="20"/>
                <w:szCs w:val="20"/>
                <w:lang w:val="en-IE"/>
              </w:rPr>
              <w:t xml:space="preserve">stakeholder groups have been identified as particularly relevant: </w:t>
            </w:r>
            <w:r w:rsidRPr="006073D2">
              <w:rPr>
                <w:rFonts w:ascii="Arial" w:hAnsi="Arial" w:cs="Arial"/>
                <w:color w:val="1036A0"/>
                <w:sz w:val="20"/>
                <w:szCs w:val="20"/>
                <w:lang w:val="en-IE"/>
              </w:rPr>
              <w:t>major manufacturing sector associations / companies (basic chemicals, plastics, metals, minerals, paper and cardboard, ele</w:t>
            </w:r>
            <w:r>
              <w:rPr>
                <w:rFonts w:ascii="Arial" w:hAnsi="Arial" w:cs="Arial"/>
                <w:color w:val="1036A0"/>
                <w:sz w:val="20"/>
                <w:szCs w:val="20"/>
                <w:lang w:val="en-IE"/>
              </w:rPr>
              <w:t>ctronics, home appliances</w:t>
            </w:r>
            <w:r w:rsidR="00A763AA">
              <w:rPr>
                <w:rFonts w:ascii="Arial" w:hAnsi="Arial" w:cs="Arial"/>
                <w:color w:val="1036A0"/>
                <w:sz w:val="20"/>
                <w:szCs w:val="20"/>
                <w:lang w:val="en-IE"/>
              </w:rPr>
              <w:t>, etc</w:t>
            </w:r>
            <w:r>
              <w:rPr>
                <w:rFonts w:ascii="Arial" w:hAnsi="Arial" w:cs="Arial"/>
                <w:color w:val="1036A0"/>
                <w:sz w:val="20"/>
                <w:szCs w:val="20"/>
                <w:lang w:val="en-IE"/>
              </w:rPr>
              <w:t>),</w:t>
            </w:r>
            <w:r w:rsidRPr="006073D2">
              <w:rPr>
                <w:rFonts w:ascii="Arial" w:hAnsi="Arial" w:cs="Arial"/>
                <w:color w:val="1036A0"/>
                <w:sz w:val="20"/>
                <w:szCs w:val="20"/>
                <w:lang w:val="en-IE"/>
              </w:rPr>
              <w:t xml:space="preserve"> waste managers, in particular recyclers</w:t>
            </w:r>
            <w:r>
              <w:rPr>
                <w:rFonts w:ascii="Arial" w:hAnsi="Arial" w:cs="Arial"/>
                <w:color w:val="1036A0"/>
                <w:sz w:val="20"/>
                <w:szCs w:val="20"/>
                <w:lang w:val="en-IE"/>
              </w:rPr>
              <w:t xml:space="preserve"> and waste-to-energy operators,</w:t>
            </w:r>
            <w:r w:rsidRPr="006073D2">
              <w:rPr>
                <w:rFonts w:ascii="Arial" w:hAnsi="Arial" w:cs="Arial"/>
                <w:color w:val="1036A0"/>
                <w:sz w:val="20"/>
                <w:szCs w:val="20"/>
                <w:lang w:val="en-IE"/>
              </w:rPr>
              <w:t xml:space="preserve"> as well as national authorities and enforcement agencies, NGOs, scientific and academic institutions and health and environment experts. </w:t>
            </w:r>
          </w:p>
          <w:p w:rsidR="00D05940" w:rsidRPr="00897585" w:rsidP="00B77746">
            <w:pPr>
              <w:spacing w:before="60" w:after="60"/>
              <w:jc w:val="both"/>
              <w:rPr>
                <w:rFonts w:ascii="Arial" w:hAnsi="Arial" w:cs="Arial"/>
                <w:i/>
                <w:color w:val="00B050"/>
                <w:sz w:val="20"/>
                <w:szCs w:val="20"/>
              </w:rPr>
            </w:pPr>
            <w:r>
              <w:rPr>
                <w:rFonts w:ascii="Arial" w:hAnsi="Arial" w:cs="Arial"/>
                <w:color w:val="1036A0"/>
                <w:sz w:val="20"/>
                <w:szCs w:val="20"/>
              </w:rPr>
              <w:t xml:space="preserve">An analysis will be made of the input received </w:t>
            </w:r>
            <w:r w:rsidRPr="00B70A6A">
              <w:rPr>
                <w:rFonts w:ascii="Arial" w:hAnsi="Arial" w:cs="Arial"/>
                <w:color w:val="1036A0"/>
                <w:sz w:val="20"/>
                <w:szCs w:val="20"/>
              </w:rPr>
              <w:t>from th</w:t>
            </w:r>
            <w:r w:rsidRPr="00B70A6A" w:rsidR="005C471D">
              <w:rPr>
                <w:rFonts w:ascii="Arial" w:hAnsi="Arial" w:cs="Arial"/>
                <w:color w:val="1036A0"/>
                <w:sz w:val="20"/>
                <w:szCs w:val="20"/>
              </w:rPr>
              <w:t xml:space="preserve">is </w:t>
            </w:r>
            <w:r w:rsidRPr="00B70A6A">
              <w:rPr>
                <w:rFonts w:ascii="Arial" w:hAnsi="Arial" w:cs="Arial"/>
                <w:color w:val="1036A0"/>
                <w:sz w:val="20"/>
                <w:szCs w:val="20"/>
              </w:rPr>
              <w:t>consultation carried out</w:t>
            </w:r>
            <w:r w:rsidRPr="00DD0D31">
              <w:rPr>
                <w:rFonts w:ascii="Arial" w:hAnsi="Arial" w:cs="Arial"/>
                <w:color w:val="1036A0"/>
                <w:sz w:val="20"/>
                <w:szCs w:val="20"/>
              </w:rPr>
              <w:t xml:space="preserve"> by the Commission </w:t>
            </w:r>
            <w:r w:rsidR="009D0B12">
              <w:rPr>
                <w:rFonts w:ascii="Arial" w:hAnsi="Arial" w:cs="Arial"/>
                <w:color w:val="1036A0"/>
                <w:sz w:val="20"/>
                <w:szCs w:val="20"/>
              </w:rPr>
              <w:t xml:space="preserve">on </w:t>
            </w:r>
            <w:r w:rsidR="005C471D">
              <w:rPr>
                <w:rFonts w:ascii="Arial" w:hAnsi="Arial" w:cs="Arial"/>
                <w:color w:val="1036A0"/>
                <w:sz w:val="20"/>
                <w:szCs w:val="20"/>
              </w:rPr>
              <w:t xml:space="preserve">its </w:t>
            </w:r>
            <w:r w:rsidRPr="00DD0D31">
              <w:rPr>
                <w:rFonts w:ascii="Arial" w:hAnsi="Arial" w:cs="Arial"/>
                <w:color w:val="1036A0"/>
                <w:sz w:val="20"/>
                <w:szCs w:val="20"/>
              </w:rPr>
              <w:t>inception impact assessment</w:t>
            </w:r>
            <w:r w:rsidR="009D0B12">
              <w:rPr>
                <w:rFonts w:ascii="Arial" w:hAnsi="Arial" w:cs="Arial"/>
                <w:color w:val="1036A0"/>
                <w:sz w:val="20"/>
                <w:szCs w:val="20"/>
              </w:rPr>
              <w:t xml:space="preserve"> report, as required </w:t>
            </w:r>
            <w:r w:rsidRPr="00DD0D31">
              <w:rPr>
                <w:rFonts w:ascii="Arial" w:hAnsi="Arial" w:cs="Arial"/>
                <w:color w:val="1036A0"/>
                <w:sz w:val="20"/>
                <w:szCs w:val="20"/>
              </w:rPr>
              <w:t xml:space="preserve">under the </w:t>
            </w:r>
            <w:r>
              <w:fldChar w:fldCharType="begin"/>
            </w:r>
            <w:r>
              <w:instrText xml:space="preserve"> HYPERLINK "https://ec.europa.eu/info/files/better-regulation-toolbox-7_en" </w:instrText>
            </w:r>
            <w:r>
              <w:fldChar w:fldCharType="separate"/>
            </w:r>
            <w:r w:rsidRPr="003420B1">
              <w:rPr>
                <w:rStyle w:val="Hyperlink"/>
                <w:rFonts w:ascii="Arial" w:hAnsi="Arial" w:cs="Arial"/>
                <w:sz w:val="20"/>
                <w:szCs w:val="20"/>
              </w:rPr>
              <w:t>Better Regulation Guidelines</w:t>
            </w:r>
            <w:r>
              <w:fldChar w:fldCharType="end"/>
            </w:r>
            <w:r w:rsidRPr="00DD0D31">
              <w:rPr>
                <w:rFonts w:ascii="Arial" w:hAnsi="Arial" w:cs="Arial"/>
                <w:color w:val="1036A0"/>
                <w:sz w:val="20"/>
                <w:szCs w:val="20"/>
              </w:rPr>
              <w:t xml:space="preserve">. </w:t>
            </w:r>
            <w:r w:rsidR="005C471D">
              <w:rPr>
                <w:rFonts w:ascii="Arial" w:hAnsi="Arial" w:cs="Arial"/>
                <w:color w:val="1036A0"/>
                <w:sz w:val="20"/>
                <w:szCs w:val="20"/>
                <w:lang w:val="en-IE"/>
              </w:rPr>
              <w:t xml:space="preserve">A </w:t>
            </w:r>
            <w:r w:rsidRPr="00D515FD" w:rsidR="006073D2">
              <w:rPr>
                <w:rFonts w:ascii="Arial" w:hAnsi="Arial" w:cs="Arial"/>
                <w:color w:val="1036A0"/>
                <w:sz w:val="20"/>
                <w:szCs w:val="20"/>
                <w:lang w:val="en-IE"/>
              </w:rPr>
              <w:t>targeted stakeholder consultation</w:t>
            </w:r>
            <w:r w:rsidR="00D515FD">
              <w:rPr>
                <w:rFonts w:ascii="Arial" w:hAnsi="Arial" w:cs="Arial"/>
                <w:color w:val="1036A0"/>
                <w:sz w:val="20"/>
                <w:szCs w:val="20"/>
                <w:lang w:val="en-IE"/>
              </w:rPr>
              <w:t xml:space="preserve"> will be </w:t>
            </w:r>
            <w:r w:rsidRPr="00D515FD" w:rsidR="00A02D84">
              <w:rPr>
                <w:rFonts w:ascii="Arial" w:hAnsi="Arial" w:cs="Arial"/>
                <w:color w:val="1036A0"/>
                <w:sz w:val="20"/>
                <w:szCs w:val="20"/>
                <w:lang w:val="en-IE"/>
              </w:rPr>
              <w:t>carried out</w:t>
            </w:r>
            <w:r w:rsidR="00C168C0">
              <w:rPr>
                <w:rFonts w:ascii="Arial" w:hAnsi="Arial" w:cs="Arial"/>
                <w:color w:val="1036A0"/>
                <w:sz w:val="20"/>
                <w:szCs w:val="20"/>
                <w:lang w:val="en-IE"/>
              </w:rPr>
              <w:t xml:space="preserve">, in English, </w:t>
            </w:r>
            <w:r w:rsidRPr="00D515FD" w:rsidR="006073D2">
              <w:rPr>
                <w:rFonts w:ascii="Arial" w:hAnsi="Arial" w:cs="Arial"/>
                <w:color w:val="1036A0"/>
                <w:sz w:val="20"/>
                <w:szCs w:val="20"/>
                <w:lang w:val="en-IE"/>
              </w:rPr>
              <w:t>compris</w:t>
            </w:r>
            <w:r w:rsidRPr="00D515FD" w:rsidR="00A02D84">
              <w:rPr>
                <w:rFonts w:ascii="Arial" w:hAnsi="Arial" w:cs="Arial"/>
                <w:color w:val="1036A0"/>
                <w:sz w:val="20"/>
                <w:szCs w:val="20"/>
                <w:lang w:val="en-IE"/>
              </w:rPr>
              <w:t>ing</w:t>
            </w:r>
            <w:r w:rsidRPr="00D515FD" w:rsidR="006073D2">
              <w:rPr>
                <w:rFonts w:ascii="Arial" w:hAnsi="Arial" w:cs="Arial"/>
                <w:color w:val="1036A0"/>
                <w:sz w:val="20"/>
                <w:szCs w:val="20"/>
                <w:lang w:val="en-IE"/>
              </w:rPr>
              <w:t xml:space="preserve"> all aspects relevant to the Impact Assessment, including socio-economic elements, for the specific measure. The consultation </w:t>
            </w:r>
            <w:r w:rsidR="005C471D">
              <w:rPr>
                <w:rFonts w:ascii="Arial" w:hAnsi="Arial" w:cs="Arial"/>
                <w:color w:val="1036A0"/>
                <w:sz w:val="20"/>
                <w:szCs w:val="20"/>
                <w:lang w:val="en-IE"/>
              </w:rPr>
              <w:t xml:space="preserve">will </w:t>
            </w:r>
            <w:r w:rsidRPr="00D515FD" w:rsidR="006073D2">
              <w:rPr>
                <w:rFonts w:ascii="Arial" w:hAnsi="Arial" w:cs="Arial"/>
                <w:color w:val="1036A0"/>
                <w:sz w:val="20"/>
                <w:szCs w:val="20"/>
                <w:lang w:val="en-IE"/>
              </w:rPr>
              <w:t xml:space="preserve">comprise a dedicated questionnaire, to be submitted electronically and, as appropriate followed-up by means of dedicated telephone or face-to-face interviews with stakeholders representing key sectors and organisations concerned. </w:t>
            </w:r>
          </w:p>
        </w:tc>
      </w:tr>
      <w:tr w:rsidTr="007F50CF">
        <w:tblPrEx>
          <w:tblW w:w="10314" w:type="dxa"/>
          <w:tblLook w:val="01E0"/>
        </w:tblPrEx>
        <w:tc>
          <w:tcPr>
            <w:tcW w:w="10314" w:type="dxa"/>
            <w:tcBorders>
              <w:bottom w:val="single" w:sz="4" w:space="0" w:color="auto"/>
            </w:tcBorders>
            <w:shd w:val="clear" w:color="auto" w:fill="E6E6E6"/>
          </w:tcPr>
          <w:p w:rsidR="00D05940" w:rsidRPr="003D44D7" w:rsidP="00E124A8">
            <w:pPr>
              <w:spacing w:before="60"/>
              <w:jc w:val="both"/>
              <w:rPr>
                <w:rFonts w:ascii="Arial" w:hAnsi="Arial" w:cs="Arial"/>
                <w:b/>
                <w:sz w:val="20"/>
                <w:szCs w:val="20"/>
              </w:rPr>
            </w:pPr>
            <w:r w:rsidRPr="003D44D7">
              <w:rPr>
                <w:rFonts w:ascii="Arial" w:hAnsi="Arial" w:cs="Arial"/>
                <w:b/>
                <w:sz w:val="20"/>
                <w:szCs w:val="20"/>
              </w:rPr>
              <w:t>Will an Implementation plan be established?</w:t>
            </w:r>
            <w:r>
              <w:rPr>
                <w:rFonts w:ascii="Arial" w:hAnsi="Arial" w:cs="Arial"/>
                <w:b/>
                <w:sz w:val="20"/>
                <w:szCs w:val="20"/>
              </w:rPr>
              <w:t xml:space="preserve"> </w:t>
            </w:r>
          </w:p>
        </w:tc>
      </w:tr>
      <w:tr w:rsidTr="001A0A25">
        <w:tblPrEx>
          <w:tblW w:w="10314" w:type="dxa"/>
          <w:tblLook w:val="01E0"/>
        </w:tblPrEx>
        <w:trPr>
          <w:trHeight w:val="946"/>
        </w:trPr>
        <w:tc>
          <w:tcPr>
            <w:tcW w:w="10314" w:type="dxa"/>
            <w:shd w:val="clear" w:color="auto" w:fill="auto"/>
          </w:tcPr>
          <w:p w:rsidR="00D05940" w:rsidRPr="000E1A42" w:rsidP="004041B5">
            <w:pPr>
              <w:spacing w:before="60" w:after="60"/>
              <w:jc w:val="both"/>
              <w:rPr>
                <w:rFonts w:ascii="Arial" w:hAnsi="Arial" w:cs="Arial"/>
                <w:i/>
                <w:color w:val="00B050"/>
                <w:sz w:val="20"/>
                <w:szCs w:val="20"/>
              </w:rPr>
            </w:pPr>
            <w:r>
              <w:rPr>
                <w:rFonts w:ascii="Arial" w:hAnsi="Arial" w:cs="Arial"/>
                <w:color w:val="1036A0"/>
                <w:sz w:val="20"/>
                <w:szCs w:val="20"/>
              </w:rPr>
              <w:t xml:space="preserve">No Implementation Plan is envisaged for this measure given </w:t>
            </w:r>
            <w:r w:rsidR="004A0EDD">
              <w:rPr>
                <w:rFonts w:ascii="Arial" w:hAnsi="Arial" w:cs="Arial"/>
                <w:color w:val="1036A0"/>
                <w:sz w:val="20"/>
                <w:szCs w:val="20"/>
              </w:rPr>
              <w:t xml:space="preserve">that </w:t>
            </w:r>
            <w:r>
              <w:rPr>
                <w:rFonts w:ascii="Arial" w:hAnsi="Arial" w:cs="Arial"/>
                <w:color w:val="1036A0"/>
                <w:sz w:val="20"/>
                <w:szCs w:val="20"/>
              </w:rPr>
              <w:t>the POP regulation has been in place since the year 2004 and is being implemented by Member States since then. The current measure introduces technical modifications to Annexes IV and V that do not require the development of an implementation plan.</w:t>
            </w:r>
          </w:p>
        </w:tc>
      </w:tr>
    </w:tbl>
    <w:p w:rsidR="009E6661" w:rsidRPr="00BA7F9D" w:rsidP="00706E04">
      <w:pPr>
        <w:rPr>
          <w:rFonts w:ascii="Arial" w:hAnsi="Arial" w:cs="Arial"/>
        </w:rPr>
      </w:pPr>
    </w:p>
    <w:sectPr w:rsidSect="001874BC">
      <w:footerReference w:type="even" r:id="rId13"/>
      <w:footerReference w:type="default" r:id="rId14"/>
      <w:headerReference w:type="first" r:id="rId15"/>
      <w:type w:val="continuous"/>
      <w:pgSz w:w="11906" w:h="16838" w:code="9"/>
      <w:pgMar w:top="851" w:right="56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4DA" w:rsidP="00D9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7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4DA"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p>
  <w:p w:rsidR="009574DA" w:rsidRPr="002B4E61"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sidRPr="002B4E61">
      <w:rPr>
        <w:rStyle w:val="PageNumber"/>
        <w:rFonts w:ascii="Arial" w:hAnsi="Arial"/>
        <w:sz w:val="16"/>
      </w:rPr>
      <w:fldChar w:fldCharType="begin"/>
    </w:r>
    <w:r w:rsidRPr="002B4E61">
      <w:rPr>
        <w:rStyle w:val="PageNumber"/>
        <w:rFonts w:ascii="Arial" w:hAnsi="Arial"/>
        <w:sz w:val="16"/>
      </w:rPr>
      <w:instrText xml:space="preserve">PAGE  </w:instrText>
    </w:r>
    <w:r w:rsidRPr="002B4E61">
      <w:rPr>
        <w:rStyle w:val="PageNumber"/>
        <w:rFonts w:ascii="Arial" w:hAnsi="Arial"/>
        <w:sz w:val="16"/>
      </w:rPr>
      <w:fldChar w:fldCharType="separate"/>
    </w:r>
    <w:r w:rsidR="00EB549F">
      <w:rPr>
        <w:rStyle w:val="PageNumber"/>
        <w:rFonts w:ascii="Arial" w:hAnsi="Arial"/>
        <w:noProof/>
        <w:sz w:val="16"/>
      </w:rPr>
      <w:t>3</w:t>
    </w:r>
    <w:r w:rsidRPr="002B4E61">
      <w:rPr>
        <w:rStyle w:val="PageNumber"/>
        <w:rFonts w:ascii="Arial" w:hAnsi="Arial"/>
        <w:sz w:val="16"/>
      </w:rPr>
      <w:fldChar w:fldCharType="end"/>
    </w:r>
  </w:p>
  <w:p w:rsidR="009574DA" w:rsidRPr="002B4E61">
    <w:pPr>
      <w:pStyle w:val="Foo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10D" w:rsidP="00D9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41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10D"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p>
  <w:p w:rsidR="00EE410D" w:rsidRPr="002B4E61"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sidRPr="002B4E61">
      <w:rPr>
        <w:rStyle w:val="PageNumber"/>
        <w:rFonts w:ascii="Arial" w:hAnsi="Arial"/>
        <w:sz w:val="16"/>
      </w:rPr>
      <w:fldChar w:fldCharType="begin"/>
    </w:r>
    <w:r w:rsidRPr="002B4E61">
      <w:rPr>
        <w:rStyle w:val="PageNumber"/>
        <w:rFonts w:ascii="Arial" w:hAnsi="Arial"/>
        <w:sz w:val="16"/>
      </w:rPr>
      <w:instrText xml:space="preserve">PAGE  </w:instrText>
    </w:r>
    <w:r w:rsidRPr="002B4E61">
      <w:rPr>
        <w:rStyle w:val="PageNumber"/>
        <w:rFonts w:ascii="Arial" w:hAnsi="Arial"/>
        <w:sz w:val="16"/>
      </w:rPr>
      <w:fldChar w:fldCharType="separate"/>
    </w:r>
    <w:r w:rsidR="005C36CB">
      <w:rPr>
        <w:rStyle w:val="PageNumber"/>
        <w:rFonts w:ascii="Arial" w:hAnsi="Arial"/>
        <w:noProof/>
        <w:sz w:val="16"/>
      </w:rPr>
      <w:t>2</w:t>
    </w:r>
    <w:r w:rsidRPr="002B4E61">
      <w:rPr>
        <w:rStyle w:val="PageNumber"/>
        <w:rFonts w:ascii="Arial" w:hAnsi="Arial"/>
        <w:sz w:val="16"/>
      </w:rPr>
      <w:fldChar w:fldCharType="end"/>
    </w:r>
  </w:p>
  <w:p w:rsidR="00EE410D" w:rsidRPr="002B4E61">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4944">
      <w:r>
        <w:separator/>
      </w:r>
    </w:p>
  </w:footnote>
  <w:footnote w:type="continuationSeparator" w:id="1">
    <w:p w:rsidR="00E24944">
      <w:r>
        <w:continuationSeparator/>
      </w:r>
    </w:p>
  </w:footnote>
  <w:footnote w:id="2">
    <w:p w:rsidR="008718D4" w:rsidRPr="008718D4" w:rsidP="008718D4">
      <w:pPr>
        <w:pStyle w:val="FootnoteText"/>
        <w:ind w:left="142" w:hanging="142"/>
      </w:pPr>
      <w:r w:rsidRPr="00CE4E00">
        <w:rPr>
          <w:rStyle w:val="FootnoteReference"/>
          <w:rFonts w:ascii="Arial" w:hAnsi="Arial" w:cs="Arial"/>
          <w:color w:val="1F497D" w:themeColor="text2"/>
          <w:sz w:val="16"/>
          <w:szCs w:val="16"/>
        </w:rPr>
        <w:footnoteRef/>
      </w:r>
      <w:r w:rsidRPr="00CE4E00">
        <w:rPr>
          <w:rFonts w:ascii="Arial" w:hAnsi="Arial" w:cs="Arial"/>
          <w:color w:val="1F497D" w:themeColor="text2"/>
          <w:sz w:val="16"/>
          <w:szCs w:val="16"/>
        </w:rPr>
        <w:t xml:space="preserve"> Regulation (EU) 2019/1021 requires the review of the values established in its annex IV for the sum of certain polybrominated diphenylethers (PBDEs) by no later than 16 July 2021 and for </w:t>
      </w:r>
      <w:r w:rsidRPr="00CE4E00" w:rsidR="00D05940">
        <w:rPr>
          <w:rFonts w:ascii="Arial" w:hAnsi="Arial" w:cs="Arial"/>
          <w:color w:val="1F497D" w:themeColor="text2"/>
          <w:sz w:val="16"/>
          <w:szCs w:val="16"/>
        </w:rPr>
        <w:t>h</w:t>
      </w:r>
      <w:r w:rsidRPr="00CE4E00">
        <w:rPr>
          <w:rFonts w:ascii="Arial" w:hAnsi="Arial" w:cs="Arial"/>
          <w:color w:val="1F497D" w:themeColor="text2"/>
          <w:sz w:val="16"/>
          <w:szCs w:val="16"/>
        </w:rPr>
        <w:t>exabromocyclododecane</w:t>
      </w:r>
      <w:r w:rsidRPr="00CE4E00" w:rsidR="00D05940">
        <w:rPr>
          <w:rFonts w:ascii="Arial" w:hAnsi="Arial" w:cs="Arial"/>
          <w:color w:val="1F497D" w:themeColor="text2"/>
          <w:sz w:val="16"/>
          <w:szCs w:val="16"/>
        </w:rPr>
        <w:t xml:space="preserve"> (HBCDD)</w:t>
      </w:r>
      <w:r w:rsidRPr="00CE4E00">
        <w:rPr>
          <w:rFonts w:ascii="Arial" w:hAnsi="Arial" w:cs="Arial"/>
          <w:color w:val="1F497D" w:themeColor="text2"/>
          <w:sz w:val="16"/>
          <w:szCs w:val="16"/>
        </w:rPr>
        <w:t xml:space="preserve"> by 20 April 2019.</w:t>
      </w:r>
      <w:r w:rsidRPr="00CE4E00">
        <w:rPr>
          <w:color w:val="1F497D" w:themeColor="text2"/>
        </w:rPr>
        <w:t xml:space="preserve">    </w:t>
      </w:r>
    </w:p>
  </w:footnote>
  <w:footnote w:id="3">
    <w:p w:rsidR="000E108D" w:rsidRPr="00CE4E00" w:rsidP="000E108D">
      <w:pPr>
        <w:pStyle w:val="FootnoteText"/>
        <w:spacing w:after="0"/>
        <w:rPr>
          <w:color w:val="1F497D" w:themeColor="text2"/>
        </w:rPr>
      </w:pPr>
      <w:r>
        <w:rPr>
          <w:rStyle w:val="FootnoteReference"/>
        </w:rPr>
        <w:footnoteRef/>
      </w:r>
      <w:r w:rsidRPr="000E108D">
        <w:t xml:space="preserve"> </w:t>
      </w:r>
      <w:r w:rsidRPr="00CE4E00">
        <w:rPr>
          <w:color w:val="1F497D" w:themeColor="text2"/>
          <w:sz w:val="18"/>
          <w:szCs w:val="18"/>
        </w:rPr>
        <w:t>PCB-77, PCB-81, PCB-105, PCB-114, PCB-118, PCB-123, PCB-126, PCB-156, PCB-157, PCB-167, PCB-169, PCB-189.</w:t>
      </w:r>
      <w:r w:rsidRPr="00CE4E00">
        <w:rPr>
          <w:color w:val="1F497D" w:themeColor="text2"/>
        </w:rPr>
        <w:t xml:space="preserve"> </w:t>
      </w:r>
    </w:p>
  </w:footnote>
  <w:footnote w:id="4">
    <w:p w:rsidR="000F27D4" w:rsidRPr="00CE4E00">
      <w:pPr>
        <w:pStyle w:val="FootnoteText"/>
        <w:rPr>
          <w:color w:val="1F497D" w:themeColor="text2"/>
          <w:sz w:val="18"/>
          <w:szCs w:val="18"/>
        </w:rPr>
      </w:pPr>
      <w:r w:rsidRPr="00CE4E00">
        <w:rPr>
          <w:rStyle w:val="FootnoteReference"/>
          <w:color w:val="1F497D" w:themeColor="text2"/>
          <w:sz w:val="18"/>
          <w:szCs w:val="18"/>
        </w:rPr>
        <w:footnoteRef/>
      </w:r>
      <w:r w:rsidRPr="00CE4E00">
        <w:rPr>
          <w:color w:val="1F497D" w:themeColor="text2"/>
          <w:sz w:val="18"/>
          <w:szCs w:val="18"/>
        </w:rPr>
        <w:t xml:space="preserve"> The annex of Commission Decision 2000/532/EC states that “Wastes containing polychlorinated dibenzo-p-dioxins and dibenzofurans (PCDD/PCDF), DDT (1,1,1-trichloro-2,2- bis (4-chlorophenyl)ethane), chlordane, hexachlorocyclohexanes (including lindane), dieldrin, endrin, heptachlor, hexaclorobenzene, chlordecone, aldrine, pentachlorobenzene, mirex, toxaphene hexabromobiphenyl and/or PCB exceeding the concentration limits indicated in Annex IV to Regulation (EC) No 850/2004 of the European Parliament and of the Council (1) shall be classified as hazardous.”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4DA" w:rsidP="00E72EF2">
    <w:pPr>
      <w:pStyle w:val="Header"/>
      <w:jc w:val="center"/>
    </w:pPr>
    <w:r>
      <w:rPr>
        <w:rFonts w:ascii="Arial" w:hAnsi="Arial" w:cs="Arial"/>
        <w:noProof/>
        <w:lang w:val="fr-BE" w:eastAsia="fr-BE"/>
      </w:rPr>
      <w:drawing>
        <wp:inline distT="0" distB="0" distL="0" distR="0">
          <wp:extent cx="1908175" cy="508635"/>
          <wp:effectExtent l="0" t="0" r="0" b="5715"/>
          <wp:docPr id="3" name="Picture 3"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8175" cy="5086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10D" w:rsidP="00E72EF2">
    <w:pPr>
      <w:pStyle w:val="Header"/>
      <w:jc w:val="center"/>
    </w:pPr>
    <w:r>
      <w:rPr>
        <w:rFonts w:ascii="Arial" w:hAnsi="Arial" w:cs="Arial"/>
        <w:noProof/>
        <w:lang w:val="fr-BE" w:eastAsia="fr-BE"/>
      </w:rPr>
      <w:drawing>
        <wp:inline distT="0" distB="0" distL="0" distR="0">
          <wp:extent cx="1908175" cy="508635"/>
          <wp:effectExtent l="0" t="0" r="0" b="5715"/>
          <wp:docPr id="2"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81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B"/>
    <w:multiLevelType w:val="multilevel"/>
    <w:tmpl w:val="0000000B"/>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C750DC"/>
    <w:multiLevelType w:val="hybridMultilevel"/>
    <w:tmpl w:val="7A5EFAE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0D5E5F"/>
    <w:multiLevelType w:val="hybridMultilevel"/>
    <w:tmpl w:val="594C4F24"/>
    <w:lvl w:ilvl="0">
      <w:start w:val="1"/>
      <w:numFmt w:val="bullet"/>
      <w:lvlText w:val=""/>
      <w:lvlJc w:val="left"/>
      <w:pPr>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D8A5EBE"/>
    <w:multiLevelType w:val="hybridMultilevel"/>
    <w:tmpl w:val="EF426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7749E2"/>
    <w:multiLevelType w:val="hybridMultilevel"/>
    <w:tmpl w:val="41B29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155E22"/>
    <w:multiLevelType w:val="multilevel"/>
    <w:tmpl w:val="1BAC0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3C3D2A"/>
    <w:multiLevelType w:val="hybridMultilevel"/>
    <w:tmpl w:val="2FF42130"/>
    <w:lvl w:ilvl="0">
      <w:start w:val="1"/>
      <w:numFmt w:val="bullet"/>
      <w:lvlText w:val=""/>
      <w:lvlJc w:val="left"/>
      <w:pPr>
        <w:ind w:left="644"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4D341724"/>
    <w:multiLevelType w:val="hybridMultilevel"/>
    <w:tmpl w:val="07CED08E"/>
    <w:lvl w:ilvl="0">
      <w:start w:val="1"/>
      <w:numFmt w:val="bullet"/>
      <w:lvlText w:val="­"/>
      <w:lvlJc w:val="left"/>
      <w:pPr>
        <w:ind w:left="644"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F792AF0"/>
    <w:multiLevelType w:val="hybridMultilevel"/>
    <w:tmpl w:val="21BED8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A8071D"/>
    <w:multiLevelType w:val="hybridMultilevel"/>
    <w:tmpl w:val="4D703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6E0E01"/>
    <w:multiLevelType w:val="hybridMultilevel"/>
    <w:tmpl w:val="4D9E2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055F0D"/>
    <w:multiLevelType w:val="hybridMultilevel"/>
    <w:tmpl w:val="5AE0BF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5824B5"/>
    <w:multiLevelType w:val="hybridMultilevel"/>
    <w:tmpl w:val="F19203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15">
    <w:nsid w:val="6D2B5511"/>
    <w:multiLevelType w:val="singleLevel"/>
    <w:tmpl w:val="74A09970"/>
    <w:name w:val="List Bullet 1"/>
    <w:lvl w:ilvl="0">
      <w:start w:val="1"/>
      <w:numFmt w:val="bullet"/>
      <w:pStyle w:val="ListBullet"/>
      <w:lvlText w:val=""/>
      <w:lvlJc w:val="left"/>
      <w:pPr>
        <w:tabs>
          <w:tab w:val="num" w:pos="283"/>
        </w:tabs>
        <w:ind w:left="283" w:hanging="283"/>
      </w:pPr>
      <w:rPr>
        <w:rFonts w:ascii="Symbol" w:hAnsi="Symbol" w:hint="default"/>
      </w:rPr>
    </w:lvl>
  </w:abstractNum>
  <w:abstractNum w:abstractNumId="16">
    <w:nsid w:val="6D7B58CE"/>
    <w:multiLevelType w:val="hybridMultilevel"/>
    <w:tmpl w:val="55143764"/>
    <w:lvl w:ilvl="0">
      <w:start w:val="1"/>
      <w:numFmt w:val="bullet"/>
      <w:pStyle w:val="ListDash1"/>
      <w:lvlText w:val="–"/>
      <w:lvlJc w:val="left"/>
      <w:pPr>
        <w:tabs>
          <w:tab w:val="num" w:pos="1287"/>
        </w:tabs>
        <w:ind w:left="1287" w:hanging="283"/>
      </w:pPr>
      <w:rPr>
        <w:rFonts w:ascii="Times New Roman" w:hAnsi="Times New Roman" w:cs="Times New Roman" w:hint="default"/>
      </w:rPr>
    </w:lvl>
    <w:lvl w:ilvl="1">
      <w:start w:val="0"/>
      <w:numFmt w:val="bullet"/>
      <w:lvlText w:val="-"/>
      <w:lvlJc w:val="left"/>
      <w:pPr>
        <w:ind w:left="1593" w:hanging="360"/>
      </w:pPr>
      <w:rPr>
        <w:rFonts w:ascii="Times" w:eastAsia="Times New Roman" w:hAnsi="Times" w:cs="Times New Roman" w:hint="default"/>
      </w:rPr>
    </w:lvl>
    <w:lvl w:ilvl="2" w:tentative="1">
      <w:start w:val="1"/>
      <w:numFmt w:val="bullet"/>
      <w:lvlText w:val=""/>
      <w:lvlJc w:val="left"/>
      <w:pPr>
        <w:tabs>
          <w:tab w:val="num" w:pos="2313"/>
        </w:tabs>
        <w:ind w:left="2313" w:hanging="360"/>
      </w:pPr>
      <w:rPr>
        <w:rFonts w:ascii="Wingdings" w:hAnsi="Wingdings" w:hint="default"/>
      </w:rPr>
    </w:lvl>
    <w:lvl w:ilvl="3" w:tentative="1">
      <w:start w:val="1"/>
      <w:numFmt w:val="bullet"/>
      <w:lvlText w:val=""/>
      <w:lvlJc w:val="left"/>
      <w:pPr>
        <w:tabs>
          <w:tab w:val="num" w:pos="3033"/>
        </w:tabs>
        <w:ind w:left="3033" w:hanging="360"/>
      </w:pPr>
      <w:rPr>
        <w:rFonts w:ascii="Symbol" w:hAnsi="Symbol" w:hint="default"/>
      </w:rPr>
    </w:lvl>
    <w:lvl w:ilvl="4" w:tentative="1">
      <w:start w:val="1"/>
      <w:numFmt w:val="bullet"/>
      <w:lvlText w:val="o"/>
      <w:lvlJc w:val="left"/>
      <w:pPr>
        <w:tabs>
          <w:tab w:val="num" w:pos="3753"/>
        </w:tabs>
        <w:ind w:left="3753" w:hanging="360"/>
      </w:pPr>
      <w:rPr>
        <w:rFonts w:ascii="Courier New" w:hAnsi="Courier New" w:cs="Wingdings" w:hint="default"/>
      </w:rPr>
    </w:lvl>
    <w:lvl w:ilvl="5" w:tentative="1">
      <w:start w:val="1"/>
      <w:numFmt w:val="bullet"/>
      <w:lvlText w:val=""/>
      <w:lvlJc w:val="left"/>
      <w:pPr>
        <w:tabs>
          <w:tab w:val="num" w:pos="4473"/>
        </w:tabs>
        <w:ind w:left="4473" w:hanging="360"/>
      </w:pPr>
      <w:rPr>
        <w:rFonts w:ascii="Wingdings" w:hAnsi="Wingdings" w:hint="default"/>
      </w:rPr>
    </w:lvl>
    <w:lvl w:ilvl="6" w:tentative="1">
      <w:start w:val="1"/>
      <w:numFmt w:val="bullet"/>
      <w:lvlText w:val=""/>
      <w:lvlJc w:val="left"/>
      <w:pPr>
        <w:tabs>
          <w:tab w:val="num" w:pos="5193"/>
        </w:tabs>
        <w:ind w:left="5193" w:hanging="360"/>
      </w:pPr>
      <w:rPr>
        <w:rFonts w:ascii="Symbol" w:hAnsi="Symbol" w:hint="default"/>
      </w:rPr>
    </w:lvl>
    <w:lvl w:ilvl="7" w:tentative="1">
      <w:start w:val="1"/>
      <w:numFmt w:val="bullet"/>
      <w:lvlText w:val="o"/>
      <w:lvlJc w:val="left"/>
      <w:pPr>
        <w:tabs>
          <w:tab w:val="num" w:pos="5913"/>
        </w:tabs>
        <w:ind w:left="5913" w:hanging="360"/>
      </w:pPr>
      <w:rPr>
        <w:rFonts w:ascii="Courier New" w:hAnsi="Courier New" w:cs="Wingdings" w:hint="default"/>
      </w:rPr>
    </w:lvl>
    <w:lvl w:ilvl="8" w:tentative="1">
      <w:start w:val="1"/>
      <w:numFmt w:val="bullet"/>
      <w:lvlText w:val=""/>
      <w:lvlJc w:val="left"/>
      <w:pPr>
        <w:tabs>
          <w:tab w:val="num" w:pos="6633"/>
        </w:tabs>
        <w:ind w:left="6633" w:hanging="360"/>
      </w:pPr>
      <w:rPr>
        <w:rFonts w:ascii="Wingdings" w:hAnsi="Wingdings" w:hint="default"/>
      </w:rPr>
    </w:lvl>
  </w:abstractNum>
  <w:abstractNum w:abstractNumId="17">
    <w:nsid w:val="7530130B"/>
    <w:multiLevelType w:val="hybridMultilevel"/>
    <w:tmpl w:val="D3CA85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6"/>
  </w:num>
  <w:num w:numId="4">
    <w:abstractNumId w:val="7"/>
  </w:num>
  <w:num w:numId="5">
    <w:abstractNumId w:val="3"/>
  </w:num>
  <w:num w:numId="6">
    <w:abstractNumId w:val="17"/>
  </w:num>
  <w:num w:numId="7">
    <w:abstractNumId w:val="1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6"/>
  </w:num>
  <w:num w:numId="15">
    <w:abstractNumId w:val="16"/>
  </w:num>
  <w:num w:numId="16">
    <w:abstractNumId w:val="2"/>
  </w:num>
  <w:num w:numId="17">
    <w:abstractNumId w:val="5"/>
  </w:num>
  <w:num w:numId="18">
    <w:abstractNumId w:val="12"/>
  </w:num>
  <w:num w:numId="19">
    <w:abstractNumId w:val="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284"/>
  <w:hyphenationZone w:val="425"/>
  <w:doNotShadeFormData/>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6661"/>
    <w:pPr>
      <w:tabs>
        <w:tab w:val="center" w:pos="4153"/>
        <w:tab w:val="right" w:pos="8306"/>
      </w:tabs>
    </w:pPr>
  </w:style>
  <w:style w:type="paragraph" w:styleId="FootnoteText">
    <w:name w:val="footnote text"/>
    <w:aliases w:val="Carattere,Char,Footnote Text Char Char,Footnote Text Char1,Footnote Text_EP-LC,Footnote ak,Footnote ak Char Char,Footnotes,Footnotes Char Char,Footnotes Char1,Fußnote,fn,fn Char Char,fn Char1,footnote text Char Char,footnote text Char1,ft"/>
    <w:basedOn w:val="Normal"/>
    <w:link w:val="FootnoteTextChar"/>
    <w:qFormat/>
    <w:rsid w:val="009E6661"/>
    <w:pPr>
      <w:spacing w:after="240"/>
      <w:ind w:left="357" w:hanging="357"/>
      <w:jc w:val="both"/>
    </w:pPr>
    <w:rPr>
      <w:sz w:val="20"/>
      <w:szCs w:val="20"/>
    </w:rPr>
  </w:style>
  <w:style w:type="character" w:styleId="FootnoteReference">
    <w:name w:val="footnote reference"/>
    <w:aliases w:val=" BVI fnr,-E Fußnotenzeichen,Appel note de bas de p,BVI fnr,EN Footnote Reference,Footnote Reference Superscript,Footnote number,Footnote reference number,Footnote symbol,Nota,Ref,SUPERS,note TESI,number,number Char Char,styl,styli"/>
    <w:uiPriority w:val="99"/>
    <w:qFormat/>
    <w:rsid w:val="009E6661"/>
    <w:rPr>
      <w:vertAlign w:val="superscript"/>
    </w:rPr>
  </w:style>
  <w:style w:type="character" w:customStyle="1" w:styleId="FootnoteTextChar">
    <w:name w:val="Footnote Text Char"/>
    <w:aliases w:val="Carattere Char,Char Char,Footnote Text Char Char Char,Footnote Text Char1 Char,Footnote ak Char,Footnote ak Char Char Char,Footnotes Char,Footnotes Char Char Char,Fußnote Char,fn Char,fn Char Char Char,footnote text Char Char Char"/>
    <w:link w:val="FootnoteText"/>
    <w:rsid w:val="009E6661"/>
    <w:rPr>
      <w:lang w:val="en-GB" w:eastAsia="en-GB" w:bidi="ar-SA"/>
    </w:rPr>
  </w:style>
  <w:style w:type="paragraph" w:styleId="ListBullet">
    <w:name w:val="List Bullet"/>
    <w:basedOn w:val="Normal"/>
    <w:rsid w:val="009E6661"/>
    <w:pPr>
      <w:numPr>
        <w:numId w:val="1"/>
      </w:numPr>
      <w:spacing w:before="120" w:after="120"/>
      <w:jc w:val="both"/>
    </w:pPr>
    <w:rPr>
      <w:lang w:eastAsia="de-DE"/>
    </w:rPr>
  </w:style>
  <w:style w:type="paragraph" w:customStyle="1" w:styleId="Text1">
    <w:name w:val="Text 1"/>
    <w:basedOn w:val="Normal"/>
    <w:rsid w:val="009E6661"/>
    <w:pPr>
      <w:spacing w:before="120" w:after="120"/>
      <w:ind w:left="850"/>
      <w:jc w:val="both"/>
    </w:pPr>
    <w:rPr>
      <w:lang w:eastAsia="en-US"/>
    </w:rPr>
  </w:style>
  <w:style w:type="character" w:styleId="Emphasis">
    <w:name w:val="Emphasis"/>
    <w:qFormat/>
    <w:rsid w:val="009E6661"/>
    <w:rPr>
      <w:b/>
      <w:bCs/>
      <w:i w:val="0"/>
      <w:iCs w:val="0"/>
    </w:rPr>
  </w:style>
  <w:style w:type="paragraph" w:customStyle="1" w:styleId="ListBullet1">
    <w:name w:val="List Bullet 1"/>
    <w:basedOn w:val="Normal"/>
    <w:rsid w:val="009E6661"/>
    <w:pPr>
      <w:numPr>
        <w:numId w:val="2"/>
      </w:numPr>
      <w:spacing w:before="120" w:after="120"/>
      <w:jc w:val="both"/>
    </w:pPr>
    <w:rPr>
      <w:lang w:eastAsia="de-DE"/>
    </w:rPr>
  </w:style>
  <w:style w:type="character" w:customStyle="1" w:styleId="at31">
    <w:name w:val="a__t31"/>
    <w:rsid w:val="009E6661"/>
    <w:rPr>
      <w:b/>
      <w:bCs/>
    </w:rPr>
  </w:style>
  <w:style w:type="paragraph" w:styleId="NormalWeb">
    <w:name w:val="Normal (Web)"/>
    <w:basedOn w:val="Normal"/>
    <w:link w:val="NormalWebChar"/>
    <w:rsid w:val="00D03063"/>
    <w:pPr>
      <w:spacing w:before="100" w:beforeAutospacing="1" w:after="100" w:afterAutospacing="1"/>
    </w:pPr>
  </w:style>
  <w:style w:type="character" w:customStyle="1" w:styleId="NormalWebChar">
    <w:name w:val="Normal (Web) Char"/>
    <w:link w:val="NormalWeb"/>
    <w:rsid w:val="00D03063"/>
    <w:rPr>
      <w:sz w:val="24"/>
      <w:szCs w:val="24"/>
      <w:lang w:val="en-GB" w:eastAsia="en-GB" w:bidi="ar-SA"/>
    </w:rPr>
  </w:style>
  <w:style w:type="paragraph" w:customStyle="1" w:styleId="ListDash1">
    <w:name w:val="List Dash 1"/>
    <w:basedOn w:val="Normal"/>
    <w:qFormat/>
    <w:rsid w:val="001C4CCF"/>
    <w:pPr>
      <w:numPr>
        <w:numId w:val="3"/>
      </w:numPr>
    </w:pPr>
    <w:rPr>
      <w:lang w:val="fr-FR"/>
    </w:rPr>
  </w:style>
  <w:style w:type="paragraph" w:styleId="Footer">
    <w:name w:val="footer"/>
    <w:basedOn w:val="Normal"/>
    <w:rsid w:val="00B07956"/>
    <w:pPr>
      <w:tabs>
        <w:tab w:val="center" w:pos="4536"/>
        <w:tab w:val="right" w:pos="9072"/>
      </w:tabs>
    </w:pPr>
  </w:style>
  <w:style w:type="character" w:styleId="PageNumber">
    <w:name w:val="page number"/>
    <w:basedOn w:val="DefaultParagraphFont"/>
    <w:rsid w:val="00B07956"/>
  </w:style>
  <w:style w:type="paragraph" w:styleId="BalloonText">
    <w:name w:val="Balloon Text"/>
    <w:basedOn w:val="Normal"/>
    <w:semiHidden/>
    <w:rsid w:val="00991122"/>
    <w:rPr>
      <w:rFonts w:ascii="Tahoma" w:hAnsi="Tahoma" w:cs="Tahoma"/>
      <w:sz w:val="16"/>
      <w:szCs w:val="16"/>
    </w:rPr>
  </w:style>
  <w:style w:type="character" w:styleId="Hyperlink">
    <w:name w:val="Hyperlink"/>
    <w:uiPriority w:val="99"/>
    <w:unhideWhenUsed/>
    <w:rsid w:val="003154F3"/>
    <w:rPr>
      <w:color w:val="0000FF"/>
      <w:u w:val="single"/>
    </w:rPr>
  </w:style>
  <w:style w:type="character" w:styleId="CommentReference">
    <w:name w:val="annotation reference"/>
    <w:rsid w:val="000E132C"/>
    <w:rPr>
      <w:sz w:val="16"/>
      <w:szCs w:val="16"/>
    </w:rPr>
  </w:style>
  <w:style w:type="paragraph" w:styleId="CommentText">
    <w:name w:val="annotation text"/>
    <w:basedOn w:val="Normal"/>
    <w:link w:val="CommentTextChar"/>
    <w:rsid w:val="000E132C"/>
    <w:rPr>
      <w:sz w:val="20"/>
      <w:szCs w:val="20"/>
    </w:rPr>
  </w:style>
  <w:style w:type="character" w:customStyle="1" w:styleId="CommentTextChar">
    <w:name w:val="Comment Text Char"/>
    <w:basedOn w:val="DefaultParagraphFont"/>
    <w:link w:val="CommentText"/>
    <w:rsid w:val="000E132C"/>
  </w:style>
  <w:style w:type="paragraph" w:styleId="CommentSubject">
    <w:name w:val="annotation subject"/>
    <w:basedOn w:val="CommentText"/>
    <w:next w:val="CommentText"/>
    <w:link w:val="CommentSubjectChar"/>
    <w:rsid w:val="000E132C"/>
    <w:rPr>
      <w:b/>
      <w:bCs/>
    </w:rPr>
  </w:style>
  <w:style w:type="character" w:customStyle="1" w:styleId="CommentSubjectChar">
    <w:name w:val="Comment Subject Char"/>
    <w:link w:val="CommentSubject"/>
    <w:rsid w:val="000E132C"/>
    <w:rPr>
      <w:b/>
      <w:bCs/>
    </w:rPr>
  </w:style>
  <w:style w:type="paragraph" w:styleId="ListParagraph">
    <w:name w:val="List Paragraph"/>
    <w:basedOn w:val="Normal"/>
    <w:uiPriority w:val="34"/>
    <w:qFormat/>
    <w:rsid w:val="00DB5159"/>
    <w:pPr>
      <w:ind w:left="720"/>
      <w:contextualSpacing/>
    </w:pPr>
  </w:style>
  <w:style w:type="character" w:styleId="FollowedHyperlink">
    <w:name w:val="FollowedHyperlink"/>
    <w:basedOn w:val="DefaultParagraphFont"/>
    <w:rsid w:val="00BF2D27"/>
    <w:rPr>
      <w:color w:val="800080" w:themeColor="followedHyperlink"/>
      <w:u w:val="single"/>
    </w:rPr>
  </w:style>
  <w:style w:type="paragraph" w:customStyle="1" w:styleId="Default">
    <w:name w:val="Default"/>
    <w:rsid w:val="00B06E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brusspa\Desktop\ROADMAP%20template%20new%2010%20January%20201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896C-276E-4126-90D9-50ADF2A0FD98}">
  <ds:schemaRefs>
    <ds:schemaRef ds:uri="http://schemas.microsoft.com/sharepoint/v3/contenttype/forms"/>
  </ds:schemaRefs>
</ds:datastoreItem>
</file>

<file path=customXml/itemProps2.xml><?xml version="1.0" encoding="utf-8"?>
<ds:datastoreItem xmlns:ds="http://schemas.openxmlformats.org/officeDocument/2006/customXml" ds:itemID="{59ECBB00-2739-48E0-AC64-0E50462942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779686-C762-49D8-8D13-16C8049C0C5A}">
  <ds:schemaRefs>
    <ds:schemaRef ds:uri="http://schemas.microsoft.com/office/2006/metadata/longProperties"/>
  </ds:schemaRefs>
</ds:datastoreItem>
</file>

<file path=customXml/itemProps4.xml><?xml version="1.0" encoding="utf-8"?>
<ds:datastoreItem xmlns:ds="http://schemas.openxmlformats.org/officeDocument/2006/customXml" ds:itemID="{F953A684-3DCC-464C-9695-6FA1D4807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038DB-4BE0-465D-8C6A-52E769F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