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0DAC" w14:textId="22638F5E" w:rsidR="00274D85" w:rsidRDefault="00F4180D" w:rsidP="00F4180D">
      <w:pPr>
        <w:pStyle w:val="Pagedecouverture"/>
      </w:pPr>
      <w:r>
        <w:pict w14:anchorId="576F0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485E9359-F4F3-4798-B3A7-DFA0985F33B1" style="width:450.75pt;height:422.25pt">
            <v:imagedata r:id="rId8" o:title=""/>
          </v:shape>
        </w:pict>
      </w:r>
    </w:p>
    <w:p w14:paraId="1C814804" w14:textId="77777777" w:rsidR="00274D85" w:rsidRDefault="00274D85" w:rsidP="00274D85">
      <w:pPr>
        <w:sectPr w:rsidR="00274D85" w:rsidSect="00F418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26B494B3" w14:textId="77777777" w:rsidR="00327183" w:rsidRPr="00A01AA1" w:rsidRDefault="000020B4" w:rsidP="000020B4">
      <w:pPr>
        <w:pStyle w:val="Typedudocument"/>
      </w:pPr>
      <w:bookmarkStart w:id="0" w:name="_GoBack"/>
      <w:bookmarkEnd w:id="0"/>
      <w:r w:rsidRPr="000020B4">
        <w:lastRenderedPageBreak/>
        <w:t>COMMISSION REGULATION (EU) …/…</w:t>
      </w:r>
    </w:p>
    <w:p w14:paraId="78B9694C" w14:textId="77777777" w:rsidR="00327183" w:rsidRPr="00A01AA1" w:rsidRDefault="000020B4" w:rsidP="000020B4">
      <w:pPr>
        <w:pStyle w:val="Datedadoption"/>
      </w:pPr>
      <w:r w:rsidRPr="000020B4">
        <w:t xml:space="preserve">of </w:t>
      </w:r>
      <w:r w:rsidRPr="000020B4">
        <w:rPr>
          <w:rStyle w:val="Marker2"/>
        </w:rPr>
        <w:t>XXX</w:t>
      </w:r>
    </w:p>
    <w:p w14:paraId="7C097361" w14:textId="6C715726" w:rsidR="00327183" w:rsidRPr="00A01AA1" w:rsidRDefault="000020B4" w:rsidP="000020B4">
      <w:pPr>
        <w:pStyle w:val="Titreobjet"/>
      </w:pPr>
      <w:r w:rsidRPr="000020B4">
        <w:t>amending Annex XVII to Regulation (EC) No 1907/2006 of the European Parliament and of the Council concerning the Registration, Evaluation, Authorisation and Restriction of Chemicals (REACH) as regards substances in tattoo inks or permanent make-up</w:t>
      </w:r>
    </w:p>
    <w:p w14:paraId="119C4A4D" w14:textId="77777777" w:rsidR="00327183" w:rsidRPr="00327183" w:rsidRDefault="000020B4" w:rsidP="000020B4">
      <w:pPr>
        <w:pStyle w:val="IntrtEEE"/>
      </w:pPr>
      <w:r w:rsidRPr="000020B4">
        <w:t>(Text with EEA relevance)</w:t>
      </w:r>
    </w:p>
    <w:p w14:paraId="33DB1B67" w14:textId="77777777" w:rsidR="00327183" w:rsidRPr="00A01AA1" w:rsidRDefault="00327183" w:rsidP="00CC2C3A">
      <w:pPr>
        <w:pStyle w:val="Institutionquiagit"/>
      </w:pPr>
      <w:r w:rsidRPr="00A01AA1">
        <w:t>THE EUROPEAN COMMISSION,</w:t>
      </w:r>
    </w:p>
    <w:p w14:paraId="77B7176E" w14:textId="77777777" w:rsidR="00327183" w:rsidRPr="00A01AA1" w:rsidRDefault="00327183" w:rsidP="00CC2C3A">
      <w:r w:rsidRPr="00A01AA1">
        <w:t>Having regard to the Treaty on the Functioning of the European Union,</w:t>
      </w:r>
    </w:p>
    <w:p w14:paraId="460ACF12" w14:textId="3BE19F9E" w:rsidR="00327183" w:rsidRPr="00A01AA1" w:rsidRDefault="00327183" w:rsidP="00CC2C3A">
      <w:r w:rsidRPr="00A01AA1">
        <w:t xml:space="preserve">Having regard to </w:t>
      </w:r>
      <w:r>
        <w:t>Regulation (EC) No 1907/2006 of the European Parliament and of the Council of 18 December 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</w:t>
      </w:r>
      <w:r w:rsidRPr="00A01AA1">
        <w:rPr>
          <w:rStyle w:val="FootnoteReference"/>
        </w:rPr>
        <w:footnoteReference w:id="1"/>
      </w:r>
      <w:r w:rsidRPr="00A01AA1">
        <w:t xml:space="preserve">, and in particular Article </w:t>
      </w:r>
      <w:r>
        <w:t>68(1)</w:t>
      </w:r>
      <w:r w:rsidRPr="00A01AA1">
        <w:t xml:space="preserve"> thereof,</w:t>
      </w:r>
      <w:r w:rsidR="00A478B0">
        <w:t xml:space="preserve"> </w:t>
      </w:r>
    </w:p>
    <w:p w14:paraId="27B6C5F9" w14:textId="77777777" w:rsidR="00327183" w:rsidRDefault="00327183" w:rsidP="00CC2C3A">
      <w:r w:rsidRPr="00A01AA1">
        <w:t>Whereas:</w:t>
      </w:r>
    </w:p>
    <w:p w14:paraId="29D5B288" w14:textId="29374685" w:rsidR="00065965" w:rsidRPr="000B3CC1" w:rsidRDefault="00065965" w:rsidP="00BC135A">
      <w:pPr>
        <w:pStyle w:val="Considrant"/>
        <w:numPr>
          <w:ilvl w:val="0"/>
          <w:numId w:val="9"/>
        </w:numPr>
      </w:pPr>
      <w:r>
        <w:t>Annex XVII to Regulation (EC) No 1907/2006 lays down restrictions on the manufacture, placing on the market and use of certain substances</w:t>
      </w:r>
      <w:r w:rsidR="00FB0034">
        <w:t xml:space="preserve"> </w:t>
      </w:r>
      <w:r w:rsidR="00FB0034" w:rsidRPr="000B3CC1">
        <w:t xml:space="preserve">on </w:t>
      </w:r>
      <w:r w:rsidR="00C43388" w:rsidRPr="000B3CC1">
        <w:t>their</w:t>
      </w:r>
      <w:r w:rsidR="00FB0034" w:rsidRPr="000B3CC1">
        <w:t xml:space="preserve"> own</w:t>
      </w:r>
      <w:r w:rsidR="00C43388" w:rsidRPr="000B3CC1">
        <w:t>,</w:t>
      </w:r>
      <w:r w:rsidR="00FB0034" w:rsidRPr="000B3CC1">
        <w:t xml:space="preserve"> in</w:t>
      </w:r>
      <w:r w:rsidRPr="000B3CC1">
        <w:t xml:space="preserve"> mixtures </w:t>
      </w:r>
      <w:r w:rsidR="00FB0034" w:rsidRPr="000B3CC1">
        <w:t xml:space="preserve">or in </w:t>
      </w:r>
      <w:r w:rsidRPr="000B3CC1">
        <w:t>articles.</w:t>
      </w:r>
    </w:p>
    <w:p w14:paraId="0F709C5D" w14:textId="5B5030C6" w:rsidR="00354F83" w:rsidRPr="00C46507" w:rsidRDefault="002F7943" w:rsidP="00CF137B">
      <w:pPr>
        <w:pStyle w:val="Considrant"/>
      </w:pPr>
      <w:r w:rsidRPr="000B3CC1">
        <w:t>The number of people in the U</w:t>
      </w:r>
      <w:r w:rsidR="00C82B7C" w:rsidRPr="000B3CC1">
        <w:t>nion</w:t>
      </w:r>
      <w:r w:rsidRPr="000B3CC1">
        <w:t xml:space="preserve"> with tattoos </w:t>
      </w:r>
      <w:r w:rsidR="00D96890" w:rsidRPr="000B3CC1">
        <w:t xml:space="preserve">or permanent make-up </w:t>
      </w:r>
      <w:r w:rsidRPr="000B3CC1">
        <w:t>has been increasing steadily</w:t>
      </w:r>
      <w:r w:rsidR="002F18B0" w:rsidRPr="000B3CC1">
        <w:t>,</w:t>
      </w:r>
      <w:r w:rsidRPr="000B3CC1">
        <w:t xml:space="preserve"> in particular in </w:t>
      </w:r>
      <w:r w:rsidR="004B366B" w:rsidRPr="000B3CC1">
        <w:t xml:space="preserve">the </w:t>
      </w:r>
      <w:r w:rsidRPr="000B3CC1">
        <w:t xml:space="preserve">young population. </w:t>
      </w:r>
      <w:r w:rsidR="00065965" w:rsidRPr="000B3CC1">
        <w:t>The procedures used for tattooing</w:t>
      </w:r>
      <w:r w:rsidR="00337E12" w:rsidRPr="000B3CC1">
        <w:t xml:space="preserve"> </w:t>
      </w:r>
      <w:r w:rsidR="00451648" w:rsidRPr="000B3CC1">
        <w:t xml:space="preserve">or permanent make-up (referred to collectively as ‘tattooing’), </w:t>
      </w:r>
      <w:r w:rsidR="00065965" w:rsidRPr="000B3CC1">
        <w:t xml:space="preserve">whether involving the use of </w:t>
      </w:r>
      <w:r w:rsidR="002E1327" w:rsidRPr="000B3CC1">
        <w:t xml:space="preserve">needles </w:t>
      </w:r>
      <w:r w:rsidR="00F923AC" w:rsidRPr="000B3CC1">
        <w:t>or</w:t>
      </w:r>
      <w:r w:rsidR="002C16AB" w:rsidRPr="000B3CC1">
        <w:t xml:space="preserve"> </w:t>
      </w:r>
      <w:r w:rsidR="00B33DCD" w:rsidRPr="000B3CC1">
        <w:t xml:space="preserve">the application of </w:t>
      </w:r>
      <w:r w:rsidR="00964BDD" w:rsidRPr="000B3CC1">
        <w:t xml:space="preserve">some </w:t>
      </w:r>
      <w:r w:rsidR="00F923AC" w:rsidRPr="000B3CC1">
        <w:t xml:space="preserve">other </w:t>
      </w:r>
      <w:r w:rsidR="00964BDD" w:rsidRPr="000B3CC1">
        <w:t xml:space="preserve">technique </w:t>
      </w:r>
      <w:r w:rsidR="00337E12" w:rsidRPr="000B3CC1">
        <w:t>such as micro</w:t>
      </w:r>
      <w:r w:rsidR="00451648" w:rsidRPr="000B3CC1">
        <w:t>-</w:t>
      </w:r>
      <w:r w:rsidR="00337E12" w:rsidRPr="000B3CC1">
        <w:t>blading</w:t>
      </w:r>
      <w:r w:rsidR="00065965" w:rsidRPr="000B3CC1">
        <w:t xml:space="preserve">, </w:t>
      </w:r>
      <w:r w:rsidR="00B33DCD" w:rsidRPr="000B3CC1">
        <w:t xml:space="preserve">inevitably </w:t>
      </w:r>
      <w:r w:rsidR="00337E12" w:rsidRPr="000B3CC1">
        <w:t xml:space="preserve">cause </w:t>
      </w:r>
      <w:r w:rsidR="002E1327" w:rsidRPr="000B3CC1">
        <w:t>an</w:t>
      </w:r>
      <w:r w:rsidR="009A7588" w:rsidRPr="000B3CC1">
        <w:t xml:space="preserve"> injury</w:t>
      </w:r>
      <w:r w:rsidR="002E1327" w:rsidRPr="000B3CC1">
        <w:t xml:space="preserve"> to the skin barrier</w:t>
      </w:r>
      <w:r w:rsidR="00065965" w:rsidRPr="000B3CC1">
        <w:t>. As a result</w:t>
      </w:r>
      <w:r w:rsidR="000A553E" w:rsidRPr="000B3CC1">
        <w:t>,</w:t>
      </w:r>
      <w:r w:rsidR="002E1327" w:rsidRPr="000B3CC1">
        <w:t xml:space="preserve"> </w:t>
      </w:r>
      <w:r w:rsidR="00D43730" w:rsidRPr="000B3CC1">
        <w:t xml:space="preserve">the </w:t>
      </w:r>
      <w:r w:rsidR="00451648" w:rsidRPr="000B3CC1">
        <w:t xml:space="preserve">inks or other </w:t>
      </w:r>
      <w:r w:rsidR="008F7FD7" w:rsidRPr="000B3CC1">
        <w:t xml:space="preserve">mixtures </w:t>
      </w:r>
      <w:r w:rsidR="0074511D" w:rsidRPr="000B3CC1">
        <w:t xml:space="preserve">used </w:t>
      </w:r>
      <w:r w:rsidR="008F7FD7" w:rsidRPr="000B3CC1">
        <w:t xml:space="preserve">for tattooing </w:t>
      </w:r>
      <w:r w:rsidR="00337E12" w:rsidRPr="000B3CC1">
        <w:t xml:space="preserve">are </w:t>
      </w:r>
      <w:r w:rsidR="0074511D" w:rsidRPr="000B3CC1">
        <w:t>absorbed into the body</w:t>
      </w:r>
      <w:r w:rsidR="009A7588" w:rsidRPr="000B3CC1">
        <w:t xml:space="preserve">. </w:t>
      </w:r>
      <w:r w:rsidR="00964BDD" w:rsidRPr="000B3CC1">
        <w:t>M</w:t>
      </w:r>
      <w:r w:rsidR="00337E12" w:rsidRPr="000B3CC1">
        <w:t xml:space="preserve">ixtures </w:t>
      </w:r>
      <w:r w:rsidR="00E204F5" w:rsidRPr="000B3CC1">
        <w:t xml:space="preserve">used for </w:t>
      </w:r>
      <w:r w:rsidR="00964BDD" w:rsidRPr="000B3CC1">
        <w:t xml:space="preserve">tattooing </w:t>
      </w:r>
      <w:r w:rsidR="00337E12" w:rsidRPr="000B3CC1">
        <w:t>generally consist of colorants and a</w:t>
      </w:r>
      <w:r w:rsidR="00D4473C" w:rsidRPr="000B3CC1">
        <w:t>ux</w:t>
      </w:r>
      <w:r w:rsidR="00337E12" w:rsidRPr="000B3CC1">
        <w:t>il</w:t>
      </w:r>
      <w:r w:rsidR="00D4473C" w:rsidRPr="000B3CC1">
        <w:t>i</w:t>
      </w:r>
      <w:r w:rsidR="00337E12" w:rsidRPr="000B3CC1">
        <w:t xml:space="preserve">ary ingredients such as solvents, stabilisers, wetting agents, pH regulators, emollients, preservatives and thickeners. </w:t>
      </w:r>
      <w:r w:rsidR="00D4473C" w:rsidRPr="000B3CC1">
        <w:t xml:space="preserve">The mixtures are </w:t>
      </w:r>
      <w:r w:rsidR="00C82558" w:rsidRPr="000B3CC1">
        <w:t>introduced</w:t>
      </w:r>
      <w:r w:rsidR="00D4473C" w:rsidRPr="000B3CC1">
        <w:t xml:space="preserve"> into the human skin, inside the eyeball or into mucous membranes.</w:t>
      </w:r>
      <w:r w:rsidR="00D4473C" w:rsidRPr="000B3CC1" w:rsidDel="00065965">
        <w:t xml:space="preserve"> </w:t>
      </w:r>
      <w:r w:rsidR="00354F83" w:rsidRPr="000B3CC1">
        <w:t xml:space="preserve">The </w:t>
      </w:r>
      <w:r w:rsidR="002C16AB" w:rsidRPr="000B3CC1">
        <w:t xml:space="preserve">colorants </w:t>
      </w:r>
      <w:r w:rsidR="00354F83" w:rsidRPr="000B3CC1">
        <w:t xml:space="preserve">mostly remain </w:t>
      </w:r>
      <w:r w:rsidR="00337E12" w:rsidRPr="000B3CC1">
        <w:t>close to where the mixture is administered</w:t>
      </w:r>
      <w:r w:rsidR="002F18B0" w:rsidRPr="000B3CC1">
        <w:t>,</w:t>
      </w:r>
      <w:r w:rsidR="00354F83" w:rsidRPr="000B3CC1">
        <w:t xml:space="preserve"> so </w:t>
      </w:r>
      <w:r w:rsidR="00964BDD" w:rsidRPr="000B3CC1">
        <w:t xml:space="preserve">that </w:t>
      </w:r>
      <w:r w:rsidR="00354F83" w:rsidRPr="000B3CC1">
        <w:t>the tatt</w:t>
      </w:r>
      <w:r w:rsidR="00CB56C0" w:rsidRPr="000B3CC1">
        <w:t xml:space="preserve">oo </w:t>
      </w:r>
      <w:r w:rsidR="00D96890" w:rsidRPr="000B3CC1">
        <w:t xml:space="preserve">or permanent make-up </w:t>
      </w:r>
      <w:r w:rsidR="00CB56C0" w:rsidRPr="000B3CC1">
        <w:t xml:space="preserve">will remain visible. </w:t>
      </w:r>
      <w:r w:rsidR="002E1327" w:rsidRPr="000B3CC1">
        <w:t>However, t</w:t>
      </w:r>
      <w:r w:rsidR="00D96890" w:rsidRPr="000B3CC1">
        <w:t>he s</w:t>
      </w:r>
      <w:r w:rsidR="00354F83" w:rsidRPr="000B3CC1">
        <w:t xml:space="preserve">oluble </w:t>
      </w:r>
      <w:r w:rsidR="000A553E" w:rsidRPr="000B3CC1">
        <w:t xml:space="preserve">ingredients </w:t>
      </w:r>
      <w:r w:rsidR="00337E12" w:rsidRPr="000B3CC1">
        <w:t xml:space="preserve">in </w:t>
      </w:r>
      <w:r w:rsidR="00354F83" w:rsidRPr="000B3CC1">
        <w:t xml:space="preserve">the </w:t>
      </w:r>
      <w:r w:rsidR="002C16AB" w:rsidRPr="000B3CC1">
        <w:t xml:space="preserve">mixture </w:t>
      </w:r>
      <w:r w:rsidR="00354F83" w:rsidRPr="000B3CC1">
        <w:t xml:space="preserve">are distributed within </w:t>
      </w:r>
      <w:r w:rsidR="00337E12" w:rsidRPr="000B3CC1">
        <w:t xml:space="preserve">a matter of </w:t>
      </w:r>
      <w:r w:rsidR="00354F83" w:rsidRPr="000B3CC1">
        <w:t>hours or days</w:t>
      </w:r>
      <w:r w:rsidR="002C16AB" w:rsidRPr="000B3CC1">
        <w:t xml:space="preserve"> </w:t>
      </w:r>
      <w:r w:rsidR="00337E12" w:rsidRPr="000B3CC1">
        <w:t xml:space="preserve">across </w:t>
      </w:r>
      <w:r w:rsidR="002C16AB" w:rsidRPr="000B3CC1">
        <w:t>the entire body.</w:t>
      </w:r>
      <w:r w:rsidR="004E5A82" w:rsidRPr="000B3CC1">
        <w:t xml:space="preserve"> </w:t>
      </w:r>
      <w:r w:rsidR="00337E12" w:rsidRPr="000B3CC1">
        <w:t xml:space="preserve">In consequence, </w:t>
      </w:r>
      <w:r w:rsidR="00354F83" w:rsidRPr="000B3CC1">
        <w:t>the skin and other organs</w:t>
      </w:r>
      <w:r w:rsidR="00354F83" w:rsidRPr="006C77CA">
        <w:t xml:space="preserve"> </w:t>
      </w:r>
      <w:r w:rsidR="00337E12">
        <w:t xml:space="preserve">are exposed </w:t>
      </w:r>
      <w:r w:rsidR="00354F83" w:rsidRPr="006C77CA">
        <w:t>to the effects of th</w:t>
      </w:r>
      <w:r w:rsidR="00E4542B">
        <w:t>os</w:t>
      </w:r>
      <w:r w:rsidR="00354F83" w:rsidRPr="006C77CA">
        <w:t xml:space="preserve">e </w:t>
      </w:r>
      <w:r w:rsidR="00E81CAF">
        <w:t xml:space="preserve">soluble </w:t>
      </w:r>
      <w:r w:rsidR="00354F83" w:rsidRPr="006C77CA">
        <w:t>substances</w:t>
      </w:r>
      <w:r w:rsidR="00D96890">
        <w:t xml:space="preserve"> over an extended </w:t>
      </w:r>
      <w:r w:rsidR="00CC2C3A">
        <w:t>period</w:t>
      </w:r>
      <w:r w:rsidR="00AF7976">
        <w:t>.</w:t>
      </w:r>
      <w:r w:rsidR="00354F83" w:rsidRPr="006C77CA">
        <w:t xml:space="preserve"> </w:t>
      </w:r>
      <w:r w:rsidR="00AF7976">
        <w:t>S</w:t>
      </w:r>
      <w:r w:rsidR="00354F83" w:rsidRPr="006C77CA">
        <w:t xml:space="preserve">ome of </w:t>
      </w:r>
      <w:r w:rsidR="00AF7976">
        <w:t xml:space="preserve">those </w:t>
      </w:r>
      <w:r w:rsidR="00E81CAF">
        <w:t>substances</w:t>
      </w:r>
      <w:r w:rsidR="00F607E9">
        <w:t xml:space="preserve"> </w:t>
      </w:r>
      <w:r w:rsidR="00F607E9" w:rsidRPr="006C77CA">
        <w:t>have</w:t>
      </w:r>
      <w:r w:rsidR="00354F83" w:rsidRPr="006C77CA">
        <w:t xml:space="preserve"> hazardous properties </w:t>
      </w:r>
      <w:r w:rsidR="002C16AB">
        <w:t>that pose</w:t>
      </w:r>
      <w:r w:rsidR="00354F83" w:rsidRPr="006C77CA">
        <w:t xml:space="preserve"> </w:t>
      </w:r>
      <w:r w:rsidR="004B366B">
        <w:t xml:space="preserve">a </w:t>
      </w:r>
      <w:r w:rsidR="002C16AB">
        <w:t xml:space="preserve">potential </w:t>
      </w:r>
      <w:r w:rsidR="00354F83" w:rsidRPr="006C77CA">
        <w:t xml:space="preserve">risk to human health. </w:t>
      </w:r>
      <w:r w:rsidR="00E4542B">
        <w:t>In addition, m</w:t>
      </w:r>
      <w:r w:rsidR="00354F83" w:rsidRPr="006C77CA">
        <w:t xml:space="preserve">etabolism of the </w:t>
      </w:r>
      <w:r w:rsidR="00F923AC">
        <w:t>colorants</w:t>
      </w:r>
      <w:r w:rsidR="00354F83" w:rsidRPr="006C77CA">
        <w:t xml:space="preserve"> in the skin</w:t>
      </w:r>
      <w:r w:rsidR="000A451D" w:rsidRPr="006C77CA">
        <w:t>,</w:t>
      </w:r>
      <w:r w:rsidR="00354F83" w:rsidRPr="006C77CA">
        <w:t xml:space="preserve"> </w:t>
      </w:r>
      <w:r w:rsidR="000A451D" w:rsidRPr="006C77CA">
        <w:t xml:space="preserve">decomposition due to solar radiation exposure </w:t>
      </w:r>
      <w:r w:rsidR="009F4F30" w:rsidRPr="00C46507">
        <w:t xml:space="preserve">and </w:t>
      </w:r>
      <w:r w:rsidR="000A451D" w:rsidRPr="00C46507">
        <w:t>laser irradiation may also le</w:t>
      </w:r>
      <w:r w:rsidR="00C41EE5" w:rsidRPr="00C46507">
        <w:t>a</w:t>
      </w:r>
      <w:r w:rsidR="000A451D" w:rsidRPr="00C46507">
        <w:t xml:space="preserve">d to the release of hazardous chemicals from the </w:t>
      </w:r>
      <w:r w:rsidR="002C16AB" w:rsidRPr="00C46507">
        <w:t xml:space="preserve">area of the body where the </w:t>
      </w:r>
      <w:r w:rsidR="000A451D" w:rsidRPr="00C46507">
        <w:t>ta</w:t>
      </w:r>
      <w:r w:rsidR="00CB56C0" w:rsidRPr="00C46507">
        <w:t xml:space="preserve">ttoo </w:t>
      </w:r>
      <w:r w:rsidR="00D96890" w:rsidRPr="00C46507">
        <w:t>or permanent make-up</w:t>
      </w:r>
      <w:r w:rsidR="002C16AB" w:rsidRPr="00C46507">
        <w:t xml:space="preserve"> is </w:t>
      </w:r>
      <w:r w:rsidR="00CC2C3A" w:rsidRPr="00C46507">
        <w:t>located</w:t>
      </w:r>
      <w:r w:rsidR="001113DC" w:rsidRPr="006C77CA">
        <w:rPr>
          <w:rStyle w:val="FootnoteReference"/>
        </w:rPr>
        <w:footnoteReference w:id="2"/>
      </w:r>
      <w:r w:rsidR="003B2E27">
        <w:t>.</w:t>
      </w:r>
      <w:r w:rsidR="004C13AC" w:rsidRPr="004C13AC">
        <w:rPr>
          <w:rStyle w:val="FootnoteReference"/>
        </w:rPr>
        <w:t xml:space="preserve"> </w:t>
      </w:r>
    </w:p>
    <w:p w14:paraId="6E2B5D92" w14:textId="057980BF" w:rsidR="002F7943" w:rsidRPr="005B06DE" w:rsidRDefault="008F7FD7" w:rsidP="0000628F">
      <w:pPr>
        <w:pStyle w:val="Considrant"/>
      </w:pPr>
      <w:r>
        <w:t xml:space="preserve">Mixtures </w:t>
      </w:r>
      <w:r w:rsidR="00EF66C5">
        <w:t>pla</w:t>
      </w:r>
      <w:r w:rsidR="00964BDD">
        <w:t xml:space="preserve">ced on the market for use </w:t>
      </w:r>
      <w:r>
        <w:t>for tattooing purposes</w:t>
      </w:r>
      <w:r w:rsidR="00CC2C3A" w:rsidRPr="005B06DE">
        <w:t xml:space="preserve"> </w:t>
      </w:r>
      <w:r w:rsidR="0027252A" w:rsidRPr="005B06DE">
        <w:t xml:space="preserve">are products </w:t>
      </w:r>
      <w:r w:rsidR="00663021" w:rsidRPr="005B06DE">
        <w:t>falling within the scope of</w:t>
      </w:r>
      <w:r w:rsidR="0027252A" w:rsidRPr="005B06DE">
        <w:t xml:space="preserve"> </w:t>
      </w:r>
      <w:r w:rsidR="0000628F" w:rsidRPr="005B06DE">
        <w:t>Directive 2001/95/EC of the European Parliament and of the Council</w:t>
      </w:r>
      <w:r w:rsidR="0027252A" w:rsidRPr="005B06DE">
        <w:rPr>
          <w:rStyle w:val="FootnoteReference"/>
        </w:rPr>
        <w:footnoteReference w:id="3"/>
      </w:r>
      <w:r w:rsidR="004B7934" w:rsidRPr="005B06DE">
        <w:t>.</w:t>
      </w:r>
      <w:r w:rsidR="004B366B" w:rsidRPr="005B06DE">
        <w:t xml:space="preserve"> </w:t>
      </w:r>
      <w:r w:rsidR="004B7934" w:rsidRPr="005B06DE">
        <w:t xml:space="preserve">Directive 2001/95/EC </w:t>
      </w:r>
      <w:r w:rsidR="00DF7E64" w:rsidRPr="005B06DE">
        <w:t xml:space="preserve">allows producers to place products on the market only if they are </w:t>
      </w:r>
      <w:r w:rsidR="00767EAF" w:rsidRPr="005B06DE">
        <w:t>safe</w:t>
      </w:r>
      <w:r w:rsidR="004B366B" w:rsidRPr="005B06DE">
        <w:t>.</w:t>
      </w:r>
      <w:r w:rsidR="00767EAF" w:rsidRPr="005B06DE">
        <w:t xml:space="preserve"> </w:t>
      </w:r>
      <w:r w:rsidR="0027252A" w:rsidRPr="005B06DE">
        <w:t xml:space="preserve">Member States </w:t>
      </w:r>
      <w:r w:rsidR="00767EAF" w:rsidRPr="005B06DE">
        <w:t xml:space="preserve">enforce this obligation </w:t>
      </w:r>
      <w:r w:rsidR="004B366B" w:rsidRPr="005B06DE">
        <w:t xml:space="preserve">by </w:t>
      </w:r>
      <w:r w:rsidR="00767EAF" w:rsidRPr="005B06DE">
        <w:t xml:space="preserve">taking </w:t>
      </w:r>
      <w:r w:rsidR="0027252A" w:rsidRPr="005B06DE">
        <w:t xml:space="preserve">actions </w:t>
      </w:r>
      <w:r w:rsidR="00DF7E64" w:rsidRPr="005B06DE">
        <w:t xml:space="preserve">in respect of </w:t>
      </w:r>
      <w:r w:rsidR="0027252A" w:rsidRPr="005B06DE">
        <w:t xml:space="preserve">dangerous products </w:t>
      </w:r>
      <w:r w:rsidR="004B7934" w:rsidRPr="005B06DE">
        <w:t>o</w:t>
      </w:r>
      <w:r w:rsidR="0027252A" w:rsidRPr="005B06DE">
        <w:t>n the market and notify</w:t>
      </w:r>
      <w:r w:rsidR="00DF7E64" w:rsidRPr="005B06DE">
        <w:t>ing</w:t>
      </w:r>
      <w:r w:rsidR="0027252A" w:rsidRPr="005B06DE">
        <w:t xml:space="preserve"> </w:t>
      </w:r>
      <w:r w:rsidR="009F4F30" w:rsidRPr="005B06DE">
        <w:t xml:space="preserve">those </w:t>
      </w:r>
      <w:r w:rsidR="00DF7E64" w:rsidRPr="005B06DE">
        <w:t xml:space="preserve">actions to the Commission </w:t>
      </w:r>
      <w:r w:rsidR="0027252A" w:rsidRPr="005B06DE">
        <w:t xml:space="preserve">through the </w:t>
      </w:r>
      <w:r w:rsidR="00DF7E64" w:rsidRPr="005B06DE">
        <w:t xml:space="preserve">Community </w:t>
      </w:r>
      <w:r w:rsidR="0027252A" w:rsidRPr="005B06DE">
        <w:t xml:space="preserve">Rapid </w:t>
      </w:r>
      <w:r w:rsidR="00DF7E64" w:rsidRPr="005B06DE">
        <w:t>Information S</w:t>
      </w:r>
      <w:r w:rsidR="0027252A" w:rsidRPr="005B06DE">
        <w:t>ystem (RAPEX)</w:t>
      </w:r>
      <w:r w:rsidR="00FB2450" w:rsidRPr="005B06DE">
        <w:t>.</w:t>
      </w:r>
      <w:r w:rsidR="0027252A" w:rsidRPr="005B06DE">
        <w:t xml:space="preserve"> RAPEX notifications on chemicals </w:t>
      </w:r>
      <w:r w:rsidR="002E1327" w:rsidRPr="005B06DE">
        <w:t xml:space="preserve">contained in </w:t>
      </w:r>
      <w:r>
        <w:t xml:space="preserve">mixtures </w:t>
      </w:r>
      <w:r w:rsidR="00AA28A5">
        <w:t xml:space="preserve">used </w:t>
      </w:r>
      <w:r>
        <w:t xml:space="preserve">for tattooing purposes </w:t>
      </w:r>
      <w:r w:rsidR="0027252A" w:rsidRPr="005B06DE">
        <w:t>have be</w:t>
      </w:r>
      <w:r w:rsidR="00CB56C0" w:rsidRPr="005B06DE">
        <w:t xml:space="preserve">en increasing in </w:t>
      </w:r>
      <w:r w:rsidR="00DF7E64" w:rsidRPr="005B06DE">
        <w:t xml:space="preserve">recent </w:t>
      </w:r>
      <w:r w:rsidR="00CB56C0" w:rsidRPr="005B06DE">
        <w:t>years</w:t>
      </w:r>
      <w:r w:rsidR="00701F2D">
        <w:rPr>
          <w:rStyle w:val="FootnoteReference"/>
        </w:rPr>
        <w:footnoteReference w:id="4"/>
      </w:r>
      <w:r w:rsidR="00CB56C0" w:rsidRPr="005B06DE">
        <w:t>.</w:t>
      </w:r>
    </w:p>
    <w:p w14:paraId="10B19650" w14:textId="72B90CED" w:rsidR="00194A2B" w:rsidRPr="006C77CA" w:rsidRDefault="00194A2B" w:rsidP="00EE015A">
      <w:pPr>
        <w:pStyle w:val="Considrant"/>
      </w:pPr>
      <w:r w:rsidRPr="006C77CA">
        <w:t xml:space="preserve">In 2003, the Council of Europe </w:t>
      </w:r>
      <w:r w:rsidR="007A3D3F">
        <w:t>adopted</w:t>
      </w:r>
      <w:r w:rsidRPr="006C77CA">
        <w:t xml:space="preserve"> resolution</w:t>
      </w:r>
      <w:r w:rsidR="00EE015A" w:rsidRPr="00EE015A">
        <w:t xml:space="preserve"> ResAP (2003)2</w:t>
      </w:r>
      <w:r w:rsidR="008148D0" w:rsidRPr="006C77CA">
        <w:rPr>
          <w:rStyle w:val="FootnoteReference"/>
        </w:rPr>
        <w:footnoteReference w:id="5"/>
      </w:r>
      <w:r w:rsidRPr="006C77CA">
        <w:t xml:space="preserve"> on the safety of tattoos and permanent make-up</w:t>
      </w:r>
      <w:r w:rsidR="009F4F30">
        <w:t>.</w:t>
      </w:r>
      <w:r w:rsidRPr="006C77CA">
        <w:t xml:space="preserve"> </w:t>
      </w:r>
      <w:r w:rsidR="009F4F30">
        <w:t>T</w:t>
      </w:r>
      <w:r w:rsidR="002F18B0">
        <w:t xml:space="preserve">hat </w:t>
      </w:r>
      <w:r w:rsidR="009F4F30">
        <w:t xml:space="preserve">resolution </w:t>
      </w:r>
      <w:r w:rsidRPr="006C77CA">
        <w:t xml:space="preserve">was </w:t>
      </w:r>
      <w:r w:rsidR="009F4F30">
        <w:t xml:space="preserve">superseded </w:t>
      </w:r>
      <w:r w:rsidRPr="006C77CA">
        <w:t xml:space="preserve">in 2008 by </w:t>
      </w:r>
      <w:r w:rsidR="00170324">
        <w:t>r</w:t>
      </w:r>
      <w:r w:rsidRPr="006C77CA">
        <w:t>esolution ResAP</w:t>
      </w:r>
      <w:r w:rsidR="0028327D">
        <w:t xml:space="preserve"> </w:t>
      </w:r>
      <w:r w:rsidRPr="006C77CA">
        <w:t>(2008)</w:t>
      </w:r>
      <w:r w:rsidR="00CA74F8">
        <w:t>1</w:t>
      </w:r>
      <w:r w:rsidRPr="006C77CA">
        <w:rPr>
          <w:rStyle w:val="FootnoteReference"/>
        </w:rPr>
        <w:footnoteReference w:id="6"/>
      </w:r>
      <w:r w:rsidR="00170324">
        <w:rPr>
          <w:vertAlign w:val="subscript"/>
        </w:rPr>
        <w:t>.</w:t>
      </w:r>
      <w:r w:rsidRPr="006C77CA">
        <w:t xml:space="preserve"> The </w:t>
      </w:r>
      <w:r w:rsidR="009F4F30">
        <w:t>2008 r</w:t>
      </w:r>
      <w:r w:rsidRPr="006C77CA">
        <w:t xml:space="preserve">esolution </w:t>
      </w:r>
      <w:r w:rsidR="009F4F30">
        <w:t xml:space="preserve">recommended </w:t>
      </w:r>
      <w:r w:rsidRPr="006C77CA">
        <w:t xml:space="preserve">a number of provisions </w:t>
      </w:r>
      <w:r w:rsidR="009F4F30">
        <w:t xml:space="preserve">relating </w:t>
      </w:r>
      <w:r w:rsidRPr="006C77CA">
        <w:t xml:space="preserve">to </w:t>
      </w:r>
      <w:r w:rsidR="00D43730">
        <w:t xml:space="preserve">tattooing </w:t>
      </w:r>
      <w:r w:rsidR="00D43730" w:rsidRPr="00926CE3">
        <w:t xml:space="preserve">practices </w:t>
      </w:r>
      <w:r w:rsidR="00D43730">
        <w:t xml:space="preserve">and </w:t>
      </w:r>
      <w:r w:rsidRPr="006C77CA">
        <w:t xml:space="preserve">the chemical composition </w:t>
      </w:r>
      <w:r w:rsidR="00926CE3">
        <w:t xml:space="preserve">of </w:t>
      </w:r>
      <w:r w:rsidR="004369AD">
        <w:t>m</w:t>
      </w:r>
      <w:r w:rsidR="008F7FD7">
        <w:t>ixtures for tattooing purposes</w:t>
      </w:r>
      <w:r w:rsidR="004369AD">
        <w:t xml:space="preserve"> </w:t>
      </w:r>
      <w:r w:rsidRPr="00926CE3">
        <w:t>to</w:t>
      </w:r>
      <w:r w:rsidRPr="006C77CA">
        <w:t xml:space="preserve"> ensure that </w:t>
      </w:r>
      <w:r w:rsidR="00CC2C3A">
        <w:t>they</w:t>
      </w:r>
      <w:r w:rsidR="009F4F30">
        <w:t xml:space="preserve"> </w:t>
      </w:r>
      <w:r w:rsidRPr="006C77CA">
        <w:t>do not endanger the hea</w:t>
      </w:r>
      <w:r w:rsidR="00CB56C0">
        <w:t xml:space="preserve">lth and safety of </w:t>
      </w:r>
      <w:r w:rsidR="009F4F30">
        <w:t>the public</w:t>
      </w:r>
      <w:r w:rsidR="00CB56C0">
        <w:t>.</w:t>
      </w:r>
    </w:p>
    <w:p w14:paraId="07E040AD" w14:textId="77777777" w:rsidR="0027252A" w:rsidRPr="0027252A" w:rsidRDefault="004B366B" w:rsidP="0027252A">
      <w:pPr>
        <w:pStyle w:val="Considrant"/>
      </w:pPr>
      <w:r>
        <w:t xml:space="preserve">Based on the </w:t>
      </w:r>
      <w:r w:rsidR="009F4F30">
        <w:t xml:space="preserve">Council of Europe </w:t>
      </w:r>
      <w:r>
        <w:t>recommendations, s</w:t>
      </w:r>
      <w:r w:rsidR="00232167">
        <w:t xml:space="preserve">even Member States </w:t>
      </w:r>
      <w:r w:rsidR="00000E86">
        <w:t xml:space="preserve">put </w:t>
      </w:r>
      <w:r w:rsidR="00232167">
        <w:t xml:space="preserve">national legislation in </w:t>
      </w:r>
      <w:r>
        <w:t>place</w:t>
      </w:r>
      <w:r w:rsidR="009F4F30">
        <w:t xml:space="preserve"> regulating </w:t>
      </w:r>
      <w:r w:rsidR="00232167">
        <w:t xml:space="preserve">the chemical composition of </w:t>
      </w:r>
      <w:r w:rsidR="004369AD">
        <w:t>m</w:t>
      </w:r>
      <w:r w:rsidR="008F7FD7">
        <w:t>ixtures for tattooing purposes</w:t>
      </w:r>
      <w:r w:rsidR="00056D68">
        <w:rPr>
          <w:rStyle w:val="FootnoteReference"/>
        </w:rPr>
        <w:footnoteReference w:id="7"/>
      </w:r>
      <w:r w:rsidR="00CB56C0">
        <w:t>.</w:t>
      </w:r>
    </w:p>
    <w:p w14:paraId="411DD682" w14:textId="6A51A37A" w:rsidR="00A37F86" w:rsidRPr="00046B5A" w:rsidRDefault="00A37F86" w:rsidP="00817077">
      <w:pPr>
        <w:pStyle w:val="Considrant"/>
      </w:pPr>
      <w:r w:rsidRPr="00046B5A">
        <w:t>On 12 March 2015, the Commission asked the European Chemical</w:t>
      </w:r>
      <w:r w:rsidR="00155AC5">
        <w:t>s</w:t>
      </w:r>
      <w:r w:rsidRPr="00046B5A">
        <w:t xml:space="preserve"> Age</w:t>
      </w:r>
      <w:r w:rsidR="0081595E">
        <w:t xml:space="preserve">ncy </w:t>
      </w:r>
      <w:r w:rsidR="002B1EB3" w:rsidRPr="00046B5A">
        <w:t xml:space="preserve">(‘the Agency’) </w:t>
      </w:r>
      <w:r w:rsidR="00CB56C0" w:rsidRPr="00046B5A">
        <w:t xml:space="preserve">pursuant to Article </w:t>
      </w:r>
      <w:r w:rsidR="009F4F30">
        <w:t>69(1)</w:t>
      </w:r>
      <w:r w:rsidR="00101554">
        <w:t xml:space="preserve"> </w:t>
      </w:r>
      <w:r w:rsidR="00CB56C0" w:rsidRPr="00046B5A">
        <w:t>of Regulation (EC) No 1907/2006</w:t>
      </w:r>
      <w:r w:rsidR="00B44C33" w:rsidRPr="00B44C33">
        <w:t xml:space="preserve"> </w:t>
      </w:r>
      <w:r w:rsidR="00B44C33" w:rsidRPr="00046B5A">
        <w:t xml:space="preserve">to </w:t>
      </w:r>
      <w:r w:rsidR="00B44C33">
        <w:t>prepare</w:t>
      </w:r>
      <w:r w:rsidR="00B44C33" w:rsidRPr="00046B5A">
        <w:t xml:space="preserve"> a dossier</w:t>
      </w:r>
      <w:r w:rsidR="00CB56C0" w:rsidRPr="00046B5A">
        <w:t xml:space="preserve"> </w:t>
      </w:r>
      <w:r w:rsidR="00B44C33">
        <w:t>in order to</w:t>
      </w:r>
      <w:r w:rsidR="00CB56C0">
        <w:t xml:space="preserve"> </w:t>
      </w:r>
      <w:r w:rsidRPr="00046B5A">
        <w:t xml:space="preserve">assess the risks to human health of </w:t>
      </w:r>
      <w:r w:rsidR="009F4F30">
        <w:t xml:space="preserve">certain </w:t>
      </w:r>
      <w:r w:rsidRPr="00046B5A">
        <w:t xml:space="preserve">chemicals </w:t>
      </w:r>
      <w:r w:rsidR="00ED3B73">
        <w:t xml:space="preserve">contained </w:t>
      </w:r>
      <w:r w:rsidRPr="00046B5A">
        <w:t xml:space="preserve">in </w:t>
      </w:r>
      <w:r w:rsidR="00442AE4">
        <w:t>mixtures</w:t>
      </w:r>
      <w:r w:rsidR="00AE79A3">
        <w:t xml:space="preserve"> used</w:t>
      </w:r>
      <w:r w:rsidR="00442AE4">
        <w:t xml:space="preserve"> for tattooing purposes</w:t>
      </w:r>
      <w:r w:rsidR="00D43730">
        <w:t>,</w:t>
      </w:r>
      <w:r w:rsidR="00CC2C3A">
        <w:t xml:space="preserve"> </w:t>
      </w:r>
      <w:r w:rsidR="00E4542B">
        <w:t xml:space="preserve">and </w:t>
      </w:r>
      <w:r w:rsidRPr="00046B5A">
        <w:t xml:space="preserve">the need for Union-wide action beyond </w:t>
      </w:r>
      <w:r w:rsidR="00ED3B73">
        <w:t xml:space="preserve">the </w:t>
      </w:r>
      <w:r w:rsidR="00926CE3">
        <w:t xml:space="preserve">national measures already in place </w:t>
      </w:r>
      <w:r w:rsidR="00ED3B73">
        <w:t xml:space="preserve">in some Member States </w:t>
      </w:r>
      <w:r w:rsidR="00926CE3">
        <w:t xml:space="preserve">and </w:t>
      </w:r>
      <w:r w:rsidR="00ED3B73">
        <w:t xml:space="preserve">beyond the measures </w:t>
      </w:r>
      <w:r w:rsidR="00D72D90">
        <w:t xml:space="preserve">based on </w:t>
      </w:r>
      <w:r w:rsidR="00926CE3">
        <w:t xml:space="preserve">the general safety requirements </w:t>
      </w:r>
      <w:r w:rsidR="00ED3B73">
        <w:t xml:space="preserve">laid down in </w:t>
      </w:r>
      <w:r w:rsidR="00926CE3" w:rsidRPr="0000628F">
        <w:t>Directive 2001/95/EC</w:t>
      </w:r>
      <w:r w:rsidR="00ED3B73">
        <w:t>. T</w:t>
      </w:r>
      <w:r w:rsidR="009F4F30">
        <w:t xml:space="preserve">he dossier </w:t>
      </w:r>
      <w:r w:rsidR="00457C95">
        <w:t xml:space="preserve">prepared by the Agency </w:t>
      </w:r>
      <w:r w:rsidR="00ED3B73">
        <w:t xml:space="preserve">in response to the Commission’s request </w:t>
      </w:r>
      <w:r w:rsidR="009F4F30">
        <w:t xml:space="preserve">is </w:t>
      </w:r>
      <w:r w:rsidR="00E4542B">
        <w:t xml:space="preserve">referred to in this Regulation as </w:t>
      </w:r>
      <w:r w:rsidR="00B44C33">
        <w:t>‘the Annex XV dossier’</w:t>
      </w:r>
      <w:r w:rsidR="00CB56C0">
        <w:t>.</w:t>
      </w:r>
      <w:r w:rsidRPr="00046B5A">
        <w:t xml:space="preserve"> </w:t>
      </w:r>
    </w:p>
    <w:p w14:paraId="30BB12C4" w14:textId="06EADD2C" w:rsidR="00817077" w:rsidRDefault="00CC2C3A" w:rsidP="002C6C13">
      <w:pPr>
        <w:pStyle w:val="Considrant"/>
      </w:pPr>
      <w:r>
        <w:t xml:space="preserve">The Agency prepared the Annex XV dossier in cooperation with </w:t>
      </w:r>
      <w:r w:rsidRPr="00046B5A">
        <w:t xml:space="preserve">Italy, Denmark and Norway </w:t>
      </w:r>
      <w:r>
        <w:t xml:space="preserve">(the Agency and Italy, Denmark and Norway are together referred to as ‘the dossier submitters’) </w:t>
      </w:r>
      <w:r w:rsidRPr="00046B5A">
        <w:t xml:space="preserve">and with the </w:t>
      </w:r>
      <w:r>
        <w:t xml:space="preserve">assistance </w:t>
      </w:r>
      <w:r w:rsidR="00AA28A5">
        <w:t xml:space="preserve">of </w:t>
      </w:r>
      <w:r>
        <w:t xml:space="preserve">the </w:t>
      </w:r>
      <w:r w:rsidRPr="00046B5A">
        <w:t xml:space="preserve">German Federal Institute for Risk Assessment and </w:t>
      </w:r>
      <w:r>
        <w:t xml:space="preserve">the German </w:t>
      </w:r>
      <w:r w:rsidRPr="00046B5A">
        <w:t>Federal Institute for Occupational Health and Safety.</w:t>
      </w:r>
      <w:r>
        <w:t xml:space="preserve"> </w:t>
      </w:r>
      <w:r w:rsidR="002C6C13" w:rsidRPr="00046B5A">
        <w:t xml:space="preserve">On 6 October 2017, the </w:t>
      </w:r>
      <w:r w:rsidR="00E771A8">
        <w:t>dossier submitters</w:t>
      </w:r>
      <w:r w:rsidR="00E771A8" w:rsidRPr="00BA2604">
        <w:t xml:space="preserve"> </w:t>
      </w:r>
      <w:r w:rsidR="008E769B">
        <w:t xml:space="preserve">submitted </w:t>
      </w:r>
      <w:r w:rsidR="00BA2604" w:rsidRPr="00046B5A">
        <w:t>the Annex XV dossier</w:t>
      </w:r>
      <w:r w:rsidR="00E771A8">
        <w:rPr>
          <w:rStyle w:val="FootnoteReference"/>
        </w:rPr>
        <w:footnoteReference w:id="8"/>
      </w:r>
      <w:r w:rsidR="00AA28A5">
        <w:t xml:space="preserve">. The dossier </w:t>
      </w:r>
      <w:r w:rsidR="002C6C13" w:rsidRPr="00046B5A">
        <w:t>demonstrat</w:t>
      </w:r>
      <w:r w:rsidR="00046B5A" w:rsidRPr="00046B5A">
        <w:t>ed</w:t>
      </w:r>
      <w:r w:rsidR="002C6C13" w:rsidRPr="00046B5A">
        <w:t xml:space="preserve"> that</w:t>
      </w:r>
      <w:r w:rsidR="00457C95">
        <w:t xml:space="preserve"> the risks to human health </w:t>
      </w:r>
      <w:r w:rsidR="00C14343" w:rsidRPr="00046B5A">
        <w:t xml:space="preserve">due to exposure to </w:t>
      </w:r>
      <w:r w:rsidR="003E7527">
        <w:t xml:space="preserve">certain </w:t>
      </w:r>
      <w:r w:rsidR="00B67CDD">
        <w:t>hazardous</w:t>
      </w:r>
      <w:r w:rsidR="00E9685D">
        <w:t xml:space="preserve"> </w:t>
      </w:r>
      <w:r w:rsidR="00C14343" w:rsidRPr="00046B5A">
        <w:t xml:space="preserve">chemicals in </w:t>
      </w:r>
      <w:r w:rsidR="004369AD">
        <w:t>m</w:t>
      </w:r>
      <w:r w:rsidR="008F7FD7">
        <w:t xml:space="preserve">ixtures </w:t>
      </w:r>
      <w:r w:rsidR="00AA28A5">
        <w:t xml:space="preserve">used </w:t>
      </w:r>
      <w:r w:rsidR="008F7FD7">
        <w:t>for tattooing purposes</w:t>
      </w:r>
      <w:r w:rsidR="004369AD">
        <w:t xml:space="preserve"> </w:t>
      </w:r>
      <w:r w:rsidR="00C14343">
        <w:t>are not adequately controlled</w:t>
      </w:r>
      <w:r w:rsidR="00155AC5">
        <w:t xml:space="preserve"> and </w:t>
      </w:r>
      <w:r w:rsidR="00817077" w:rsidRPr="00046B5A">
        <w:t xml:space="preserve">need to be </w:t>
      </w:r>
      <w:r w:rsidR="00046B5A" w:rsidRPr="00046B5A">
        <w:t xml:space="preserve">addressed </w:t>
      </w:r>
      <w:r w:rsidR="00C14343">
        <w:t>on a Union-wide basis t</w:t>
      </w:r>
      <w:r w:rsidR="00817077" w:rsidRPr="00046B5A">
        <w:t>o achieve a harmonised high level of protection to human health</w:t>
      </w:r>
      <w:r w:rsidR="00F675D6" w:rsidRPr="00046B5A">
        <w:t xml:space="preserve"> and free </w:t>
      </w:r>
      <w:r w:rsidR="00CB56C0">
        <w:t>movement of goods within the U</w:t>
      </w:r>
      <w:r w:rsidR="00101554">
        <w:t>nion</w:t>
      </w:r>
      <w:r w:rsidR="00CB56C0">
        <w:t>.</w:t>
      </w:r>
    </w:p>
    <w:p w14:paraId="13CBC55E" w14:textId="087D7D79" w:rsidR="00AA28A5" w:rsidRDefault="0081153D" w:rsidP="001B3AAD">
      <w:pPr>
        <w:pStyle w:val="Considrant"/>
      </w:pPr>
      <w:r>
        <w:t xml:space="preserve">The Annex XV dossier </w:t>
      </w:r>
      <w:r w:rsidR="00706189">
        <w:t xml:space="preserve">proposed </w:t>
      </w:r>
      <w:r w:rsidR="00E4542B">
        <w:t xml:space="preserve">a restriction prohibiting </w:t>
      </w:r>
      <w:r w:rsidR="00AA28A5">
        <w:t xml:space="preserve">both </w:t>
      </w:r>
      <w:r>
        <w:t xml:space="preserve">the </w:t>
      </w:r>
      <w:r w:rsidR="00CB56C0">
        <w:t>placing</w:t>
      </w:r>
      <w:r w:rsidR="00706189">
        <w:t xml:space="preserve"> on the market of </w:t>
      </w:r>
      <w:r w:rsidR="004369AD">
        <w:t>m</w:t>
      </w:r>
      <w:r w:rsidR="008F7FD7">
        <w:t xml:space="preserve">ixtures </w:t>
      </w:r>
      <w:r w:rsidR="00AA28A5">
        <w:t xml:space="preserve">for use </w:t>
      </w:r>
      <w:r w:rsidR="008F7FD7">
        <w:t>for tattooing purposes</w:t>
      </w:r>
      <w:r w:rsidR="00AA28A5">
        <w:t xml:space="preserve"> and the use of mixtures for tattooing purposes</w:t>
      </w:r>
      <w:r w:rsidR="004369AD">
        <w:t xml:space="preserve"> </w:t>
      </w:r>
      <w:r w:rsidR="00AA28A5">
        <w:t xml:space="preserve">if they contained any </w:t>
      </w:r>
      <w:r w:rsidR="004B366B">
        <w:t xml:space="preserve">substances </w:t>
      </w:r>
      <w:r w:rsidR="00AE1EC4">
        <w:t xml:space="preserve">classified </w:t>
      </w:r>
      <w:r w:rsidR="004B366B">
        <w:t xml:space="preserve">under Regulation (EC) No 1272/2008 </w:t>
      </w:r>
      <w:r w:rsidR="00AE1EC4" w:rsidRPr="004B0384">
        <w:t>of the European Parliament and of the Council</w:t>
      </w:r>
      <w:r w:rsidR="00AE1EC4">
        <w:rPr>
          <w:rStyle w:val="FootnoteReference"/>
        </w:rPr>
        <w:footnoteReference w:id="9"/>
      </w:r>
      <w:r w:rsidR="00AE1EC4">
        <w:t xml:space="preserve"> </w:t>
      </w:r>
      <w:r w:rsidR="00925BD1">
        <w:t>in the hazard class</w:t>
      </w:r>
      <w:r w:rsidR="000121FE">
        <w:t>es</w:t>
      </w:r>
      <w:r w:rsidR="004B366B">
        <w:t xml:space="preserve"> carcinogenicity, mutagenicity or toxicity to reproduction category 1A, 1B or 2, skin sensitisation</w:t>
      </w:r>
      <w:r w:rsidR="00F115DC">
        <w:t xml:space="preserve"> category 1, 1A or 1 B</w:t>
      </w:r>
      <w:r w:rsidR="004B366B">
        <w:t xml:space="preserve">, skin corrosion </w:t>
      </w:r>
      <w:r w:rsidR="00F115DC">
        <w:t xml:space="preserve">category </w:t>
      </w:r>
      <w:r w:rsidR="000C3F40">
        <w:t xml:space="preserve">1, </w:t>
      </w:r>
      <w:r w:rsidR="00F115DC">
        <w:t xml:space="preserve">1A, 1B, 1C or </w:t>
      </w:r>
      <w:r w:rsidR="005417FB">
        <w:t xml:space="preserve">skin irritation category </w:t>
      </w:r>
      <w:r w:rsidR="00F115DC">
        <w:t>2</w:t>
      </w:r>
      <w:r w:rsidR="000C3F40">
        <w:t xml:space="preserve">, </w:t>
      </w:r>
      <w:r w:rsidR="004B366B">
        <w:t xml:space="preserve">or serious eye damage </w:t>
      </w:r>
      <w:r w:rsidR="000450A1">
        <w:t xml:space="preserve">category 1 </w:t>
      </w:r>
      <w:r w:rsidR="009A4E64">
        <w:t>or</w:t>
      </w:r>
      <w:r w:rsidR="000450A1">
        <w:t xml:space="preserve"> eye </w:t>
      </w:r>
      <w:r w:rsidR="004B366B">
        <w:t>irritation</w:t>
      </w:r>
      <w:r w:rsidR="00F115DC">
        <w:t xml:space="preserve"> category 2</w:t>
      </w:r>
      <w:r w:rsidR="00CB56C0">
        <w:t xml:space="preserve">. </w:t>
      </w:r>
      <w:r w:rsidR="00BD3937">
        <w:t xml:space="preserve">The Annex XV dossier also </w:t>
      </w:r>
      <w:r w:rsidR="00457C95">
        <w:t xml:space="preserve">proposed the inclusion of </w:t>
      </w:r>
      <w:r w:rsidR="000121FE">
        <w:t xml:space="preserve">certain </w:t>
      </w:r>
      <w:r w:rsidR="006D5ED2">
        <w:t>s</w:t>
      </w:r>
      <w:r w:rsidR="00CB56C0">
        <w:t xml:space="preserve">ubstances </w:t>
      </w:r>
      <w:r w:rsidR="006D5ED2">
        <w:t xml:space="preserve">listed </w:t>
      </w:r>
      <w:r w:rsidR="00767EAF">
        <w:t xml:space="preserve">in </w:t>
      </w:r>
      <w:r w:rsidR="00925BD1" w:rsidRPr="00925BD1">
        <w:t xml:space="preserve">Annex II </w:t>
      </w:r>
      <w:r w:rsidR="00AE1EC4">
        <w:t xml:space="preserve">or </w:t>
      </w:r>
      <w:r w:rsidR="00925BD1" w:rsidRPr="00925BD1">
        <w:t xml:space="preserve">IV </w:t>
      </w:r>
      <w:r w:rsidR="00925BD1">
        <w:t xml:space="preserve">to </w:t>
      </w:r>
      <w:r w:rsidR="006C766A">
        <w:t>Re</w:t>
      </w:r>
      <w:r w:rsidR="00767EAF">
        <w:t>gulation (EC) No 1223/2009</w:t>
      </w:r>
      <w:r w:rsidR="00771E45">
        <w:t xml:space="preserve"> </w:t>
      </w:r>
      <w:r w:rsidR="00771E45" w:rsidRPr="00771E45">
        <w:t>of the European Parliament and of the Council</w:t>
      </w:r>
      <w:r w:rsidR="006D5ED2">
        <w:rPr>
          <w:rStyle w:val="FootnoteReference"/>
        </w:rPr>
        <w:footnoteReference w:id="10"/>
      </w:r>
      <w:r w:rsidR="00767EAF">
        <w:t xml:space="preserve"> </w:t>
      </w:r>
      <w:r w:rsidR="00AA28A5">
        <w:t xml:space="preserve">with </w:t>
      </w:r>
      <w:r w:rsidR="00767EAF">
        <w:t>specific conditions</w:t>
      </w:r>
      <w:r w:rsidR="006D5ED2">
        <w:t>,</w:t>
      </w:r>
      <w:r w:rsidR="004C3D10">
        <w:t xml:space="preserve"> </w:t>
      </w:r>
      <w:r w:rsidR="00457C95">
        <w:t xml:space="preserve">and </w:t>
      </w:r>
      <w:r w:rsidR="00767EAF">
        <w:t>substances listed</w:t>
      </w:r>
      <w:r w:rsidR="006C766A">
        <w:t xml:space="preserve"> </w:t>
      </w:r>
      <w:r w:rsidR="00767EAF">
        <w:t>i</w:t>
      </w:r>
      <w:r w:rsidR="006C766A">
        <w:t xml:space="preserve">n </w:t>
      </w:r>
      <w:r w:rsidR="00CC2C3A">
        <w:t xml:space="preserve">Table 1 of </w:t>
      </w:r>
      <w:r w:rsidR="00767EAF">
        <w:t xml:space="preserve">the </w:t>
      </w:r>
      <w:r w:rsidR="006C766A">
        <w:t xml:space="preserve">Council of Europe </w:t>
      </w:r>
      <w:r w:rsidR="00771E45">
        <w:t>r</w:t>
      </w:r>
      <w:r w:rsidR="006C766A">
        <w:t>esolution</w:t>
      </w:r>
      <w:r w:rsidR="004D4527">
        <w:t xml:space="preserve"> </w:t>
      </w:r>
      <w:r w:rsidR="004D4527" w:rsidRPr="00CE692B">
        <w:t>ResAP(2008)</w:t>
      </w:r>
      <w:r w:rsidR="004D4527" w:rsidRPr="00C2608C">
        <w:t>1</w:t>
      </w:r>
      <w:r w:rsidR="004D4527" w:rsidRPr="00C2608C">
        <w:rPr>
          <w:i/>
        </w:rPr>
        <w:t xml:space="preserve"> </w:t>
      </w:r>
      <w:r w:rsidR="00AA28A5">
        <w:t xml:space="preserve">based on the fact that </w:t>
      </w:r>
      <w:r w:rsidR="00CC2C3A" w:rsidRPr="00C2608C">
        <w:t>th</w:t>
      </w:r>
      <w:r w:rsidR="00CC2C3A">
        <w:t>ey</w:t>
      </w:r>
      <w:r w:rsidR="00CC2C3A" w:rsidRPr="00C2608C">
        <w:t xml:space="preserve"> </w:t>
      </w:r>
      <w:r w:rsidR="00F115DC" w:rsidRPr="00C2608C">
        <w:t xml:space="preserve">may </w:t>
      </w:r>
      <w:r w:rsidR="00AA28A5">
        <w:t xml:space="preserve">either </w:t>
      </w:r>
      <w:r w:rsidR="00F115DC" w:rsidRPr="00C2608C">
        <w:t>undergo decomposition to or contain residual aromatic amines classified</w:t>
      </w:r>
      <w:r w:rsidR="0028327D" w:rsidRPr="00C2608C">
        <w:t xml:space="preserve"> for </w:t>
      </w:r>
      <w:r w:rsidR="00CC2C3A">
        <w:t>carcinogenicity or mutagenicity</w:t>
      </w:r>
      <w:r w:rsidR="00F115DC">
        <w:t xml:space="preserve">. </w:t>
      </w:r>
      <w:r w:rsidR="00383007" w:rsidRPr="00383007">
        <w:t xml:space="preserve">The </w:t>
      </w:r>
      <w:r w:rsidR="00AE1EC4">
        <w:t xml:space="preserve">Annex XV dossier </w:t>
      </w:r>
      <w:r w:rsidR="000121FE">
        <w:t>proposed to exclude</w:t>
      </w:r>
      <w:r w:rsidR="00AE1EC4">
        <w:t xml:space="preserve"> </w:t>
      </w:r>
      <w:r w:rsidR="00AA28A5">
        <w:t xml:space="preserve">from the restriction </w:t>
      </w:r>
      <w:r w:rsidR="00383007" w:rsidRPr="00383007">
        <w:t xml:space="preserve">substances </w:t>
      </w:r>
      <w:r w:rsidR="00AA28A5">
        <w:t xml:space="preserve">that were </w:t>
      </w:r>
      <w:r w:rsidR="00383007" w:rsidRPr="00383007">
        <w:t>classified</w:t>
      </w:r>
      <w:r w:rsidR="00DB6FFE">
        <w:t xml:space="preserve"> in the hazard class</w:t>
      </w:r>
      <w:r w:rsidR="000121FE">
        <w:t>es</w:t>
      </w:r>
      <w:r w:rsidR="00DB6FFE">
        <w:t xml:space="preserve"> </w:t>
      </w:r>
      <w:r w:rsidR="00DB6FFE" w:rsidRPr="00DB6FFE">
        <w:t>carcinogenicity or mutagenicity</w:t>
      </w:r>
      <w:r w:rsidR="00DB6FFE">
        <w:t xml:space="preserve"> category</w:t>
      </w:r>
      <w:r w:rsidR="000C3F40">
        <w:t xml:space="preserve"> </w:t>
      </w:r>
      <w:r w:rsidR="002B3EBC" w:rsidRPr="00383007">
        <w:t>1</w:t>
      </w:r>
      <w:r w:rsidR="002B3EBC">
        <w:t xml:space="preserve">A, 1B </w:t>
      </w:r>
      <w:r w:rsidR="002B3EBC" w:rsidRPr="00383007">
        <w:t xml:space="preserve">or 2 </w:t>
      </w:r>
      <w:r w:rsidR="000C3F40">
        <w:t xml:space="preserve">due to effects following </w:t>
      </w:r>
      <w:r w:rsidR="00CC2C3A">
        <w:t xml:space="preserve">exposure by </w:t>
      </w:r>
      <w:r w:rsidR="000C3F40">
        <w:t xml:space="preserve">inhalation </w:t>
      </w:r>
      <w:r w:rsidR="00C15CE2">
        <w:t xml:space="preserve">only </w:t>
      </w:r>
      <w:r w:rsidR="000C3F40">
        <w:t>and not through any other route such as dermal or oral</w:t>
      </w:r>
      <w:r w:rsidR="00CB56C0">
        <w:t xml:space="preserve">. </w:t>
      </w:r>
    </w:p>
    <w:p w14:paraId="0B5F6AAA" w14:textId="7C263A96" w:rsidR="0081153D" w:rsidRDefault="000121FE" w:rsidP="00F068F8">
      <w:pPr>
        <w:pStyle w:val="Considrant"/>
      </w:pPr>
      <w:r>
        <w:t>In addition, t</w:t>
      </w:r>
      <w:r w:rsidR="00916566">
        <w:t xml:space="preserve">he Annex XV dossier proposed </w:t>
      </w:r>
      <w:r>
        <w:t xml:space="preserve">a number of </w:t>
      </w:r>
      <w:r w:rsidR="00916566">
        <w:t>l</w:t>
      </w:r>
      <w:r w:rsidR="00286AC9">
        <w:t>abelling requirements</w:t>
      </w:r>
      <w:r w:rsidR="00B60984">
        <w:t xml:space="preserve">, some of them modified following advice from the </w:t>
      </w:r>
      <w:r w:rsidR="00F068F8" w:rsidRPr="00F068F8">
        <w:t>Agency’s Forum for Exchange of Information on Enforcement (‘the Forum’)</w:t>
      </w:r>
      <w:r w:rsidR="005125B9">
        <w:t xml:space="preserve"> during the opinion development process</w:t>
      </w:r>
      <w:r w:rsidR="00CC2C3A">
        <w:t>. Th</w:t>
      </w:r>
      <w:r w:rsidR="00B60984">
        <w:t>e labelling requirements</w:t>
      </w:r>
      <w:r w:rsidR="00CC2C3A">
        <w:t xml:space="preserve"> </w:t>
      </w:r>
      <w:r w:rsidR="00442AE4">
        <w:t xml:space="preserve">proposed </w:t>
      </w:r>
      <w:r w:rsidR="00AA28A5">
        <w:t xml:space="preserve">in the Annex XV dossier </w:t>
      </w:r>
      <w:r w:rsidR="00CC2C3A">
        <w:t>include</w:t>
      </w:r>
      <w:r w:rsidR="00AA28A5">
        <w:t>d</w:t>
      </w:r>
      <w:r w:rsidR="008D7942">
        <w:t xml:space="preserve"> </w:t>
      </w:r>
      <w:r>
        <w:t xml:space="preserve">a </w:t>
      </w:r>
      <w:r w:rsidR="00916566">
        <w:t xml:space="preserve">requirement </w:t>
      </w:r>
      <w:r w:rsidRPr="00926CE3">
        <w:t xml:space="preserve">to state </w:t>
      </w:r>
      <w:r w:rsidR="00AA28A5">
        <w:t xml:space="preserve">the fact that </w:t>
      </w:r>
      <w:r w:rsidR="008D7942">
        <w:t>t</w:t>
      </w:r>
      <w:r w:rsidR="00CB56C0">
        <w:t>he</w:t>
      </w:r>
      <w:r w:rsidR="009974DC" w:rsidRPr="009974DC">
        <w:t xml:space="preserve"> </w:t>
      </w:r>
      <w:r w:rsidR="00CB56C0">
        <w:t xml:space="preserve">mixture </w:t>
      </w:r>
      <w:r w:rsidR="00AA28A5">
        <w:t xml:space="preserve">was for use </w:t>
      </w:r>
      <w:r w:rsidR="00442AE4">
        <w:t xml:space="preserve">for tattooing purposes, </w:t>
      </w:r>
      <w:r w:rsidR="00AA28A5">
        <w:t xml:space="preserve">a requirement to specify </w:t>
      </w:r>
      <w:r w:rsidR="008D7942">
        <w:t xml:space="preserve">a </w:t>
      </w:r>
      <w:r>
        <w:t xml:space="preserve">unique </w:t>
      </w:r>
      <w:r w:rsidR="008D7942">
        <w:t xml:space="preserve">reference number </w:t>
      </w:r>
      <w:r>
        <w:t xml:space="preserve">for identifying </w:t>
      </w:r>
      <w:r w:rsidR="008D7942">
        <w:t xml:space="preserve">the </w:t>
      </w:r>
      <w:r w:rsidR="00916566">
        <w:t xml:space="preserve">specific </w:t>
      </w:r>
      <w:r w:rsidR="008D7942">
        <w:t>batch</w:t>
      </w:r>
      <w:r w:rsidR="00442AE4">
        <w:t>,</w:t>
      </w:r>
      <w:r w:rsidR="009974DC">
        <w:t xml:space="preserve"> </w:t>
      </w:r>
      <w:r w:rsidR="00AA28A5">
        <w:t xml:space="preserve">a requirement to list any </w:t>
      </w:r>
      <w:r w:rsidR="009843CD">
        <w:t>ingredients</w:t>
      </w:r>
      <w:r w:rsidR="00F64C6B">
        <w:t xml:space="preserve"> </w:t>
      </w:r>
      <w:r w:rsidR="00D362E3">
        <w:t xml:space="preserve">classified </w:t>
      </w:r>
      <w:r w:rsidR="00442AE4">
        <w:t>as hazard</w:t>
      </w:r>
      <w:r w:rsidR="009843CD">
        <w:t>ous</w:t>
      </w:r>
      <w:r w:rsidR="00442AE4">
        <w:t xml:space="preserve"> to</w:t>
      </w:r>
      <w:r w:rsidR="00D362E3">
        <w:t xml:space="preserve"> human health in </w:t>
      </w:r>
      <w:r w:rsidR="00EA6963">
        <w:t>P</w:t>
      </w:r>
      <w:r w:rsidR="00735718">
        <w:t xml:space="preserve">art 3 of </w:t>
      </w:r>
      <w:r w:rsidR="00D362E3">
        <w:t xml:space="preserve">Annex </w:t>
      </w:r>
      <w:r w:rsidR="007A0146">
        <w:t>VI</w:t>
      </w:r>
      <w:r w:rsidR="00D362E3">
        <w:t xml:space="preserve"> </w:t>
      </w:r>
      <w:r w:rsidR="00AA28A5">
        <w:t xml:space="preserve">to </w:t>
      </w:r>
      <w:r w:rsidR="00D362E3">
        <w:t xml:space="preserve">Regulation </w:t>
      </w:r>
      <w:r w:rsidR="00AA28A5">
        <w:t xml:space="preserve">(EC) No </w:t>
      </w:r>
      <w:r w:rsidR="00D362E3">
        <w:t>1272/2008 but not covered by th</w:t>
      </w:r>
      <w:r w:rsidR="00DE4EC9">
        <w:t xml:space="preserve">e </w:t>
      </w:r>
      <w:r w:rsidR="00AA28A5">
        <w:t>proposed restriction</w:t>
      </w:r>
      <w:r w:rsidR="00442AE4">
        <w:t>,</w:t>
      </w:r>
      <w:r w:rsidR="00D362E3">
        <w:t xml:space="preserve"> and </w:t>
      </w:r>
      <w:r w:rsidR="00AA28A5">
        <w:t xml:space="preserve">any </w:t>
      </w:r>
      <w:r w:rsidR="00C7242A">
        <w:t xml:space="preserve">ingredients </w:t>
      </w:r>
      <w:r w:rsidR="00D362E3">
        <w:t xml:space="preserve">covered by </w:t>
      </w:r>
      <w:r w:rsidR="00DE4EC9">
        <w:t xml:space="preserve">the </w:t>
      </w:r>
      <w:r w:rsidR="00AA28A5">
        <w:t xml:space="preserve">proposed restriction </w:t>
      </w:r>
      <w:r w:rsidR="00D362E3">
        <w:t xml:space="preserve">but </w:t>
      </w:r>
      <w:r w:rsidR="00D362E3" w:rsidRPr="00680C9B">
        <w:t>used</w:t>
      </w:r>
      <w:r w:rsidR="00D362E3">
        <w:t xml:space="preserve"> in </w:t>
      </w:r>
      <w:r w:rsidR="007A0146">
        <w:t xml:space="preserve">the </w:t>
      </w:r>
      <w:r w:rsidR="00442AE4">
        <w:t>mixture</w:t>
      </w:r>
      <w:r w:rsidR="007A0146">
        <w:t xml:space="preserve"> below the concentration limit</w:t>
      </w:r>
      <w:r w:rsidR="005F3E37">
        <w:t xml:space="preserve"> set </w:t>
      </w:r>
      <w:r w:rsidR="00AA28A5">
        <w:t>by the proposed restriction</w:t>
      </w:r>
      <w:r w:rsidR="00457C95">
        <w:t xml:space="preserve">. </w:t>
      </w:r>
      <w:r w:rsidR="005615F5">
        <w:t xml:space="preserve">Furthermore, an additional labelling requirement to indicate the presence of nickel and chromium (VI) was considered necessary, as these </w:t>
      </w:r>
      <w:r w:rsidR="00AA28A5">
        <w:t xml:space="preserve">particular </w:t>
      </w:r>
      <w:r w:rsidR="005615F5">
        <w:t xml:space="preserve">substances can induce new cases of skin sensitisation and </w:t>
      </w:r>
      <w:r w:rsidR="005615F5" w:rsidRPr="009C12A0">
        <w:t>potential</w:t>
      </w:r>
      <w:r w:rsidR="005615F5">
        <w:t xml:space="preserve">ly trigger </w:t>
      </w:r>
      <w:r w:rsidR="005615F5" w:rsidRPr="009C12A0">
        <w:t>allergic reaction</w:t>
      </w:r>
      <w:r w:rsidR="005615F5">
        <w:t>s</w:t>
      </w:r>
      <w:r w:rsidR="005615F5" w:rsidRPr="009C12A0">
        <w:t xml:space="preserve"> </w:t>
      </w:r>
      <w:r w:rsidR="005615F5">
        <w:t xml:space="preserve">in sensitised persons. </w:t>
      </w:r>
      <w:r w:rsidR="00CC2C3A">
        <w:t xml:space="preserve">The </w:t>
      </w:r>
      <w:r w:rsidR="00AA28A5">
        <w:t xml:space="preserve">labelling </w:t>
      </w:r>
      <w:r w:rsidR="00457C95">
        <w:t>requirements were proposed</w:t>
      </w:r>
      <w:r w:rsidR="008D7942">
        <w:t xml:space="preserve"> </w:t>
      </w:r>
      <w:r w:rsidR="00916566">
        <w:t xml:space="preserve">in order </w:t>
      </w:r>
      <w:r w:rsidR="00286AC9">
        <w:t xml:space="preserve">to </w:t>
      </w:r>
      <w:r>
        <w:t xml:space="preserve">give </w:t>
      </w:r>
      <w:r w:rsidR="00916566">
        <w:t xml:space="preserve">consumers </w:t>
      </w:r>
      <w:r w:rsidR="00E64ADB">
        <w:t>and tattooists</w:t>
      </w:r>
      <w:r w:rsidR="00916566">
        <w:t xml:space="preserve"> additional information</w:t>
      </w:r>
      <w:r w:rsidR="00286AC9">
        <w:t>, to facilitate implementation of the restriction</w:t>
      </w:r>
      <w:r w:rsidR="00CB56C0">
        <w:t>,</w:t>
      </w:r>
      <w:r w:rsidR="00286AC9">
        <w:t xml:space="preserve"> </w:t>
      </w:r>
      <w:r w:rsidR="00916566">
        <w:t xml:space="preserve">and </w:t>
      </w:r>
      <w:r w:rsidR="00286AC9">
        <w:t xml:space="preserve">to </w:t>
      </w:r>
      <w:r>
        <w:t xml:space="preserve">ensure </w:t>
      </w:r>
      <w:r w:rsidR="00267377" w:rsidRPr="00970E44">
        <w:t>that</w:t>
      </w:r>
      <w:r w:rsidR="00267377">
        <w:t xml:space="preserve"> </w:t>
      </w:r>
      <w:r w:rsidR="00286AC9">
        <w:t>investigation</w:t>
      </w:r>
      <w:r w:rsidR="00916566">
        <w:t xml:space="preserve">s </w:t>
      </w:r>
      <w:r>
        <w:t xml:space="preserve">can </w:t>
      </w:r>
      <w:r w:rsidR="00916566">
        <w:t xml:space="preserve">be </w:t>
      </w:r>
      <w:r w:rsidR="00457C95">
        <w:t xml:space="preserve">properly </w:t>
      </w:r>
      <w:r w:rsidR="00916566">
        <w:t>carried out</w:t>
      </w:r>
      <w:r w:rsidR="00286AC9">
        <w:t xml:space="preserve"> in</w:t>
      </w:r>
      <w:r w:rsidR="00CB56C0">
        <w:t xml:space="preserve"> </w:t>
      </w:r>
      <w:r w:rsidR="00916566">
        <w:t xml:space="preserve">the event </w:t>
      </w:r>
      <w:r w:rsidR="00CB56C0">
        <w:t>of adverse health effects.</w:t>
      </w:r>
    </w:p>
    <w:p w14:paraId="668BA21E" w14:textId="2ABFD55D" w:rsidR="00F115DC" w:rsidRPr="00F115DC" w:rsidRDefault="00916566" w:rsidP="000B4416">
      <w:pPr>
        <w:pStyle w:val="Considrant"/>
      </w:pPr>
      <w:r>
        <w:t xml:space="preserve">The Annex XV dossier set out </w:t>
      </w:r>
      <w:r w:rsidR="00A830DA">
        <w:t>two</w:t>
      </w:r>
      <w:r w:rsidR="00A830DA" w:rsidRPr="00A830DA">
        <w:t xml:space="preserve"> </w:t>
      </w:r>
      <w:r>
        <w:t xml:space="preserve">possible </w:t>
      </w:r>
      <w:r w:rsidR="00A830DA">
        <w:t xml:space="preserve">restriction options </w:t>
      </w:r>
      <w:r w:rsidR="00D66E64">
        <w:t>(RO</w:t>
      </w:r>
      <w:r w:rsidR="00BA2604">
        <w:t>1 and RO2</w:t>
      </w:r>
      <w:r w:rsidR="00D66E64">
        <w:t>)</w:t>
      </w:r>
      <w:r w:rsidR="002832D6">
        <w:t>,</w:t>
      </w:r>
      <w:r w:rsidR="00D66E64">
        <w:t xml:space="preserve"> </w:t>
      </w:r>
      <w:r w:rsidR="000121FE">
        <w:t xml:space="preserve">each with different </w:t>
      </w:r>
      <w:r w:rsidR="00A830DA" w:rsidRPr="00A830DA">
        <w:t xml:space="preserve">concentration limits for the substances </w:t>
      </w:r>
      <w:r w:rsidR="00867801">
        <w:t>falling within</w:t>
      </w:r>
      <w:r w:rsidR="00D66E64" w:rsidRPr="00A830DA">
        <w:t xml:space="preserve"> the scope of the </w:t>
      </w:r>
      <w:r>
        <w:t>restriction</w:t>
      </w:r>
      <w:r w:rsidR="00867801">
        <w:t>.</w:t>
      </w:r>
      <w:r w:rsidR="005E5785">
        <w:t xml:space="preserve"> </w:t>
      </w:r>
      <w:r w:rsidR="00D66E64">
        <w:t xml:space="preserve">RO1 </w:t>
      </w:r>
      <w:r w:rsidR="00867801">
        <w:t>contain</w:t>
      </w:r>
      <w:r>
        <w:t>ed</w:t>
      </w:r>
      <w:r w:rsidR="00867801">
        <w:t xml:space="preserve"> </w:t>
      </w:r>
      <w:r w:rsidR="00D66E64">
        <w:t>lower concentration limits than RO2</w:t>
      </w:r>
      <w:r w:rsidR="00C14343">
        <w:t>.</w:t>
      </w:r>
      <w:r w:rsidR="00D66E64">
        <w:t xml:space="preserve"> </w:t>
      </w:r>
      <w:r>
        <w:t xml:space="preserve">The two options also </w:t>
      </w:r>
      <w:r w:rsidR="00457C95">
        <w:t xml:space="preserve">contained </w:t>
      </w:r>
      <w:r>
        <w:t>alternative approaches f</w:t>
      </w:r>
      <w:r w:rsidR="00C14343">
        <w:t xml:space="preserve">or handling </w:t>
      </w:r>
      <w:r w:rsidR="00D66E64" w:rsidRPr="00D66E64">
        <w:t xml:space="preserve">future updates </w:t>
      </w:r>
      <w:r>
        <w:t xml:space="preserve">to Annexes II and IV to Regulation (EC) No 1223/2009. RO1 </w:t>
      </w:r>
      <w:r w:rsidR="009203C5">
        <w:t>suggested to apply</w:t>
      </w:r>
      <w:r w:rsidR="000121FE">
        <w:t xml:space="preserve"> </w:t>
      </w:r>
      <w:r>
        <w:t xml:space="preserve">the restriction not only to substances </w:t>
      </w:r>
      <w:r w:rsidR="00217A7B">
        <w:t xml:space="preserve">currently </w:t>
      </w:r>
      <w:r>
        <w:t xml:space="preserve">listed </w:t>
      </w:r>
      <w:r w:rsidR="000121FE">
        <w:t xml:space="preserve">in those Annexes </w:t>
      </w:r>
      <w:r>
        <w:t xml:space="preserve">(with the requisite conditions), but also to substances listed </w:t>
      </w:r>
      <w:r w:rsidR="00217A7B">
        <w:t xml:space="preserve">in those Annexes </w:t>
      </w:r>
      <w:r>
        <w:t>at any time in the future</w:t>
      </w:r>
      <w:r w:rsidR="00457C95">
        <w:t xml:space="preserve">. In other words, the restriction would apply to those substances automatically </w:t>
      </w:r>
      <w:r>
        <w:t xml:space="preserve">without the need </w:t>
      </w:r>
      <w:r w:rsidR="000121FE">
        <w:t>to</w:t>
      </w:r>
      <w:r w:rsidR="00F165BA">
        <w:t xml:space="preserve"> start</w:t>
      </w:r>
      <w:r w:rsidR="000121FE">
        <w:t xml:space="preserve"> </w:t>
      </w:r>
      <w:r>
        <w:t xml:space="preserve">a further restriction process </w:t>
      </w:r>
      <w:r w:rsidR="000121FE">
        <w:t xml:space="preserve">or </w:t>
      </w:r>
      <w:r w:rsidR="002859CA">
        <w:t xml:space="preserve">to </w:t>
      </w:r>
      <w:r w:rsidR="000121FE">
        <w:t xml:space="preserve">amend Annex XVII to </w:t>
      </w:r>
      <w:r>
        <w:t>Regulation (EC) No 1907/2006</w:t>
      </w:r>
      <w:r w:rsidR="00217A7B">
        <w:t xml:space="preserve"> again</w:t>
      </w:r>
      <w:r w:rsidR="00457C95">
        <w:t>. T</w:t>
      </w:r>
      <w:r>
        <w:t>his approach is referred to as “dynamic”. RO2</w:t>
      </w:r>
      <w:r w:rsidR="00802017">
        <w:t xml:space="preserve"> </w:t>
      </w:r>
      <w:r w:rsidR="000B4416" w:rsidRPr="000B4416">
        <w:t>suggested to apply</w:t>
      </w:r>
      <w:r w:rsidR="000121FE">
        <w:t xml:space="preserve"> </w:t>
      </w:r>
      <w:r>
        <w:t xml:space="preserve">the restriction </w:t>
      </w:r>
      <w:r w:rsidR="000121FE">
        <w:t xml:space="preserve">only </w:t>
      </w:r>
      <w:r>
        <w:t xml:space="preserve">to substances </w:t>
      </w:r>
      <w:r w:rsidR="00217A7B">
        <w:t xml:space="preserve">currently </w:t>
      </w:r>
      <w:r>
        <w:t>listed in those Annexes (with the requisite conditions)</w:t>
      </w:r>
      <w:r w:rsidR="00457C95">
        <w:t xml:space="preserve">. This </w:t>
      </w:r>
      <w:r>
        <w:t>approach is referred to as “static”</w:t>
      </w:r>
      <w:r w:rsidR="00457C95">
        <w:t xml:space="preserve">. </w:t>
      </w:r>
      <w:r>
        <w:t xml:space="preserve">Both options </w:t>
      </w:r>
      <w:r w:rsidR="00CC2C3A">
        <w:t xml:space="preserve">RO1 and RO2 </w:t>
      </w:r>
      <w:r>
        <w:t xml:space="preserve">proposed a </w:t>
      </w:r>
      <w:r w:rsidR="00457C95">
        <w:t>“</w:t>
      </w:r>
      <w:r>
        <w:t>dynamic</w:t>
      </w:r>
      <w:r w:rsidR="00457C95">
        <w:t>”</w:t>
      </w:r>
      <w:r>
        <w:t xml:space="preserve"> restriction </w:t>
      </w:r>
      <w:r w:rsidR="000121FE">
        <w:t xml:space="preserve">for </w:t>
      </w:r>
      <w:r>
        <w:t>substances classified under</w:t>
      </w:r>
      <w:r w:rsidR="00457C95">
        <w:t xml:space="preserve"> </w:t>
      </w:r>
      <w:r w:rsidR="00F115DC" w:rsidRPr="00F115DC">
        <w:t>Regulation (EC) No 1272/2008</w:t>
      </w:r>
      <w:r w:rsidR="000121FE">
        <w:t>. This was</w:t>
      </w:r>
      <w:r>
        <w:t xml:space="preserve"> on the grounds that</w:t>
      </w:r>
      <w:r w:rsidR="000121FE">
        <w:t xml:space="preserve"> it </w:t>
      </w:r>
      <w:r w:rsidR="00374B7E">
        <w:t xml:space="preserve">was </w:t>
      </w:r>
      <w:r w:rsidR="00F115DC" w:rsidRPr="00F115DC">
        <w:t xml:space="preserve">necessary to ensure a sufficient level of protection against </w:t>
      </w:r>
      <w:r w:rsidR="000121FE">
        <w:t xml:space="preserve">the </w:t>
      </w:r>
      <w:r>
        <w:t xml:space="preserve">human health </w:t>
      </w:r>
      <w:r w:rsidR="00F115DC" w:rsidRPr="00F115DC">
        <w:t xml:space="preserve">risks </w:t>
      </w:r>
      <w:r w:rsidR="000121FE">
        <w:t xml:space="preserve">posed by </w:t>
      </w:r>
      <w:r w:rsidR="00F115DC" w:rsidRPr="00F115DC">
        <w:t xml:space="preserve">the presence of substances in </w:t>
      </w:r>
      <w:r w:rsidR="004369AD">
        <w:t>m</w:t>
      </w:r>
      <w:r w:rsidR="008F7FD7">
        <w:t xml:space="preserve">ixtures </w:t>
      </w:r>
      <w:r w:rsidR="00217A7B">
        <w:t xml:space="preserve">used </w:t>
      </w:r>
      <w:r w:rsidR="008F7FD7">
        <w:t>for tattooing purposes</w:t>
      </w:r>
      <w:r w:rsidR="004369AD">
        <w:t xml:space="preserve"> </w:t>
      </w:r>
      <w:r w:rsidR="00457C95">
        <w:t>that are classified in the relevant categories under that Regulation</w:t>
      </w:r>
      <w:r w:rsidR="00F115DC" w:rsidRPr="00F115DC">
        <w:t>.</w:t>
      </w:r>
    </w:p>
    <w:p w14:paraId="01820C1F" w14:textId="77777777" w:rsidR="00C71FB1" w:rsidRDefault="00C71FB1" w:rsidP="00327183">
      <w:pPr>
        <w:pStyle w:val="Considrant"/>
      </w:pPr>
      <w:r>
        <w:t xml:space="preserve">On </w:t>
      </w:r>
      <w:r w:rsidR="00C73B5E">
        <w:t>20 November 2018</w:t>
      </w:r>
      <w:r>
        <w:t xml:space="preserve">, </w:t>
      </w:r>
      <w:r w:rsidR="000352FA" w:rsidRPr="006F1EDD">
        <w:t xml:space="preserve">the Agency’s </w:t>
      </w:r>
      <w:r w:rsidR="000352FA">
        <w:t xml:space="preserve">Committee for </w:t>
      </w:r>
      <w:r w:rsidR="000352FA" w:rsidRPr="006F1EDD">
        <w:t xml:space="preserve">Risk Assessment </w:t>
      </w:r>
      <w:r w:rsidR="000352FA">
        <w:t>(</w:t>
      </w:r>
      <w:r>
        <w:t>RAC</w:t>
      </w:r>
      <w:r w:rsidR="000352FA">
        <w:t>)</w:t>
      </w:r>
      <w:r>
        <w:t xml:space="preserve"> adopted </w:t>
      </w:r>
      <w:r w:rsidR="004C1922">
        <w:t>an</w:t>
      </w:r>
      <w:r>
        <w:t xml:space="preserve"> opinion concluding that the proposed restriction</w:t>
      </w:r>
      <w:r w:rsidR="0070373C">
        <w:t xml:space="preserve">, </w:t>
      </w:r>
      <w:r w:rsidR="000121FE">
        <w:t xml:space="preserve">with certain modifications proposed </w:t>
      </w:r>
      <w:r w:rsidR="0071650B">
        <w:t>by RAC</w:t>
      </w:r>
      <w:r w:rsidR="0070373C">
        <w:t>,</w:t>
      </w:r>
      <w:r>
        <w:t xml:space="preserve"> </w:t>
      </w:r>
      <w:r w:rsidR="00E4542B">
        <w:t xml:space="preserve">was </w:t>
      </w:r>
      <w:r>
        <w:t xml:space="preserve">the most appropriate Union-wide measure to address the identified </w:t>
      </w:r>
      <w:r w:rsidR="000121FE">
        <w:t xml:space="preserve">risk </w:t>
      </w:r>
      <w:r>
        <w:t xml:space="preserve">arising from the </w:t>
      </w:r>
      <w:r w:rsidR="00457C95">
        <w:t xml:space="preserve">various </w:t>
      </w:r>
      <w:r>
        <w:t>substances</w:t>
      </w:r>
      <w:r w:rsidR="00457C95">
        <w:t xml:space="preserve"> in question</w:t>
      </w:r>
      <w:r w:rsidR="000121FE">
        <w:t>,</w:t>
      </w:r>
      <w:r>
        <w:t xml:space="preserve"> in terms of </w:t>
      </w:r>
      <w:r w:rsidR="00457C95">
        <w:t xml:space="preserve">both </w:t>
      </w:r>
      <w:r>
        <w:t xml:space="preserve">effectiveness in reducing </w:t>
      </w:r>
      <w:r w:rsidR="000121FE">
        <w:t>the risk, practicability and monitorability</w:t>
      </w:r>
      <w:r>
        <w:t>.</w:t>
      </w:r>
    </w:p>
    <w:p w14:paraId="7517B449" w14:textId="77777777" w:rsidR="0086224B" w:rsidRPr="00B04195" w:rsidRDefault="007B3AF7" w:rsidP="0086224B">
      <w:pPr>
        <w:pStyle w:val="Considrant"/>
      </w:pPr>
      <w:r>
        <w:t xml:space="preserve">RAC considered </w:t>
      </w:r>
      <w:r w:rsidR="005E3F6A">
        <w:t>that all relevant health hazard classes were</w:t>
      </w:r>
      <w:r>
        <w:t xml:space="preserve"> </w:t>
      </w:r>
      <w:r w:rsidR="005E3F6A">
        <w:t xml:space="preserve">covered by the </w:t>
      </w:r>
      <w:r>
        <w:t>Annex</w:t>
      </w:r>
      <w:r w:rsidR="00CC2C3A">
        <w:t> </w:t>
      </w:r>
      <w:r>
        <w:t>XV</w:t>
      </w:r>
      <w:r w:rsidR="00CC2C3A">
        <w:t> </w:t>
      </w:r>
      <w:r>
        <w:t>dossier and agreed</w:t>
      </w:r>
      <w:r w:rsidR="005E3F6A">
        <w:t xml:space="preserve"> with the hazard assessment for the substances </w:t>
      </w:r>
      <w:r w:rsidR="001C53A0">
        <w:t>and</w:t>
      </w:r>
      <w:r w:rsidR="005E3F6A">
        <w:t xml:space="preserve"> group of substances</w:t>
      </w:r>
      <w:r w:rsidR="00116C0F">
        <w:t xml:space="preserve">. </w:t>
      </w:r>
      <w:r w:rsidR="0086224B" w:rsidRPr="0086224B">
        <w:t>In addition to</w:t>
      </w:r>
      <w:r w:rsidR="000C3F40">
        <w:t xml:space="preserve"> </w:t>
      </w:r>
      <w:r w:rsidR="0086224B" w:rsidRPr="0086224B">
        <w:t xml:space="preserve">the </w:t>
      </w:r>
      <w:r w:rsidR="00C35616">
        <w:t>r</w:t>
      </w:r>
      <w:r w:rsidR="0086224B" w:rsidRPr="0086224B">
        <w:t xml:space="preserve">estriction </w:t>
      </w:r>
      <w:r w:rsidR="00C35616">
        <w:t>o</w:t>
      </w:r>
      <w:r w:rsidR="0086224B" w:rsidRPr="0086224B">
        <w:t xml:space="preserve">ptions proposed </w:t>
      </w:r>
      <w:r w:rsidR="0086224B">
        <w:t>under RO1 and RO2, RAC proposed</w:t>
      </w:r>
      <w:r w:rsidR="0086224B" w:rsidRPr="0086224B">
        <w:t xml:space="preserve"> </w:t>
      </w:r>
      <w:r w:rsidR="00457C95">
        <w:t xml:space="preserve">a modified version of </w:t>
      </w:r>
      <w:r w:rsidR="000121FE">
        <w:t xml:space="preserve">the </w:t>
      </w:r>
      <w:r w:rsidR="0086224B" w:rsidRPr="0086224B">
        <w:t xml:space="preserve">RO1 concentration limits. </w:t>
      </w:r>
      <w:r w:rsidR="000121FE">
        <w:t xml:space="preserve">RAC considered these modifications </w:t>
      </w:r>
      <w:r w:rsidR="00CC2C3A">
        <w:t>necessary</w:t>
      </w:r>
      <w:r w:rsidR="000121FE">
        <w:t xml:space="preserve"> </w:t>
      </w:r>
      <w:r w:rsidR="0086224B" w:rsidRPr="0086224B">
        <w:t xml:space="preserve">because the </w:t>
      </w:r>
      <w:r w:rsidR="00C35616">
        <w:t>c</w:t>
      </w:r>
      <w:r w:rsidR="0086224B">
        <w:t xml:space="preserve">oncentration </w:t>
      </w:r>
      <w:r w:rsidR="00C35616">
        <w:t>l</w:t>
      </w:r>
      <w:r w:rsidR="0086224B">
        <w:t>imit</w:t>
      </w:r>
      <w:r w:rsidR="0086224B" w:rsidRPr="0086224B">
        <w:t xml:space="preserve">s for some substances in </w:t>
      </w:r>
      <w:r w:rsidR="000C3F40">
        <w:t xml:space="preserve">RO1 and </w:t>
      </w:r>
      <w:r w:rsidR="0086224B" w:rsidRPr="0086224B">
        <w:t xml:space="preserve">RO2 </w:t>
      </w:r>
      <w:r w:rsidR="000121FE">
        <w:t>did not provide sufficient protection</w:t>
      </w:r>
      <w:r w:rsidR="00CC2C3A">
        <w:t>.</w:t>
      </w:r>
      <w:r w:rsidR="0086224B" w:rsidRPr="0086224B">
        <w:t xml:space="preserve"> </w:t>
      </w:r>
      <w:r w:rsidR="00CC2C3A">
        <w:t>F</w:t>
      </w:r>
      <w:r w:rsidR="000C3F40">
        <w:t xml:space="preserve">or other substances, </w:t>
      </w:r>
      <w:r w:rsidR="000121FE">
        <w:t xml:space="preserve">more </w:t>
      </w:r>
      <w:r w:rsidR="000121FE" w:rsidRPr="00B04195">
        <w:t xml:space="preserve">practicable </w:t>
      </w:r>
      <w:r w:rsidR="00C35616" w:rsidRPr="00B04195">
        <w:t xml:space="preserve">concentration limits </w:t>
      </w:r>
      <w:r w:rsidR="0086224B" w:rsidRPr="00B04195">
        <w:t>could be proposed</w:t>
      </w:r>
      <w:r w:rsidR="00485697" w:rsidRPr="00B04195">
        <w:t>, in RAC’s view,</w:t>
      </w:r>
      <w:r w:rsidR="0086224B" w:rsidRPr="00B04195">
        <w:t xml:space="preserve"> while </w:t>
      </w:r>
      <w:r w:rsidR="000121FE" w:rsidRPr="00B04195">
        <w:t xml:space="preserve">still </w:t>
      </w:r>
      <w:r w:rsidR="0086224B" w:rsidRPr="00B04195">
        <w:t xml:space="preserve">minimising </w:t>
      </w:r>
      <w:r w:rsidR="00C35616" w:rsidRPr="00B04195">
        <w:t xml:space="preserve">the </w:t>
      </w:r>
      <w:r w:rsidR="0086224B" w:rsidRPr="00B04195">
        <w:t>risk for human health.</w:t>
      </w:r>
    </w:p>
    <w:p w14:paraId="296C491C" w14:textId="598DAC8D" w:rsidR="00457C95" w:rsidRPr="00FC275A" w:rsidRDefault="005F3BE9" w:rsidP="0086224B">
      <w:pPr>
        <w:pStyle w:val="Considrant"/>
      </w:pPr>
      <w:r w:rsidRPr="00B04195">
        <w:t xml:space="preserve">RAC did not agree with the </w:t>
      </w:r>
      <w:r w:rsidR="00485697" w:rsidRPr="00B04195">
        <w:t xml:space="preserve">proposal to exclude </w:t>
      </w:r>
      <w:r w:rsidR="00D43E5F" w:rsidRPr="00B04195">
        <w:t xml:space="preserve">two primary aromatic amines </w:t>
      </w:r>
      <w:r w:rsidR="00485697" w:rsidRPr="00B04195">
        <w:t xml:space="preserve">listed in </w:t>
      </w:r>
      <w:r w:rsidRPr="00B04195">
        <w:t>Table 1 of the ResAP (2008)1</w:t>
      </w:r>
      <w:r w:rsidR="00485697" w:rsidRPr="00B04195">
        <w:t xml:space="preserve"> from the scope of the </w:t>
      </w:r>
      <w:r w:rsidR="00833701" w:rsidRPr="00B04195">
        <w:t>proposed</w:t>
      </w:r>
      <w:r w:rsidR="00485697" w:rsidRPr="00B04195">
        <w:t xml:space="preserve"> restriction</w:t>
      </w:r>
      <w:r w:rsidR="002859CA" w:rsidRPr="00B04195">
        <w:t xml:space="preserve">, </w:t>
      </w:r>
      <w:r w:rsidR="00485697" w:rsidRPr="00B04195">
        <w:t xml:space="preserve">namely </w:t>
      </w:r>
      <w:r w:rsidR="002859CA" w:rsidRPr="00B04195">
        <w:t>6-amino-2</w:t>
      </w:r>
      <w:r w:rsidR="00CF10C8" w:rsidRPr="00B04195">
        <w:t>-</w:t>
      </w:r>
      <w:r w:rsidR="002859CA" w:rsidRPr="00B04195">
        <w:t>ethoxynaphthaline</w:t>
      </w:r>
      <w:r w:rsidR="00296B20" w:rsidRPr="00B04195">
        <w:t xml:space="preserve"> (CAS </w:t>
      </w:r>
      <w:r w:rsidR="00161FF1" w:rsidRPr="00B04195">
        <w:t xml:space="preserve">No </w:t>
      </w:r>
      <w:r w:rsidR="00296B20" w:rsidRPr="00B04195">
        <w:t>293733-21-8)</w:t>
      </w:r>
      <w:r w:rsidR="002859CA" w:rsidRPr="00B04195">
        <w:t xml:space="preserve"> and 2,4</w:t>
      </w:r>
      <w:r w:rsidR="00CF10C8" w:rsidRPr="00B04195">
        <w:t>-</w:t>
      </w:r>
      <w:r w:rsidR="002859CA" w:rsidRPr="00B04195">
        <w:t>xylidine</w:t>
      </w:r>
      <w:r w:rsidR="00296B20" w:rsidRPr="00B04195">
        <w:t xml:space="preserve"> (EC </w:t>
      </w:r>
      <w:r w:rsidR="00161FF1" w:rsidRPr="00B04195">
        <w:t xml:space="preserve">No </w:t>
      </w:r>
      <w:r w:rsidR="00296B20" w:rsidRPr="00B04195">
        <w:t>202-440-0</w:t>
      </w:r>
      <w:r w:rsidR="00161FF1" w:rsidRPr="00B04195">
        <w:t xml:space="preserve">; </w:t>
      </w:r>
      <w:r w:rsidR="00296B20" w:rsidRPr="00B04195">
        <w:t xml:space="preserve">CAS </w:t>
      </w:r>
      <w:r w:rsidR="00161FF1" w:rsidRPr="00B04195">
        <w:t xml:space="preserve">No </w:t>
      </w:r>
      <w:r w:rsidR="00296B20" w:rsidRPr="00B04195">
        <w:t>95-68-1)</w:t>
      </w:r>
      <w:r w:rsidRPr="00B04195">
        <w:t>.</w:t>
      </w:r>
    </w:p>
    <w:p w14:paraId="3A3D8E77" w14:textId="7D594693" w:rsidR="00196FD8" w:rsidRPr="006C77CA" w:rsidRDefault="00485697" w:rsidP="00CC2C3A">
      <w:pPr>
        <w:pStyle w:val="Considrant"/>
      </w:pPr>
      <w:r w:rsidRPr="00B04195">
        <w:t xml:space="preserve">However, </w:t>
      </w:r>
      <w:r w:rsidR="005E3F6A" w:rsidRPr="00B04195">
        <w:t>RAC agree</w:t>
      </w:r>
      <w:r w:rsidR="00283697" w:rsidRPr="00B04195">
        <w:t>d</w:t>
      </w:r>
      <w:r w:rsidR="005E3F6A" w:rsidRPr="00B04195">
        <w:t xml:space="preserve"> with the </w:t>
      </w:r>
      <w:r w:rsidR="00CC2C3A" w:rsidRPr="00B04195">
        <w:t>d</w:t>
      </w:r>
      <w:r w:rsidR="005E3F6A" w:rsidRPr="00B04195">
        <w:t xml:space="preserve">ossier </w:t>
      </w:r>
      <w:r w:rsidR="00CC2C3A" w:rsidRPr="00B04195">
        <w:t>s</w:t>
      </w:r>
      <w:r w:rsidR="005E3F6A" w:rsidRPr="00B04195">
        <w:t>ubmitters</w:t>
      </w:r>
      <w:r w:rsidRPr="00B04195">
        <w:t>’ proposal</w:t>
      </w:r>
      <w:r w:rsidR="005E3F6A" w:rsidRPr="00B04195">
        <w:t xml:space="preserve"> to exclude </w:t>
      </w:r>
      <w:r w:rsidR="002807F4" w:rsidRPr="00B04195">
        <w:t>carcinogenic and mutagenic</w:t>
      </w:r>
      <w:r w:rsidR="00374B7E" w:rsidRPr="00B04195">
        <w:t xml:space="preserve"> </w:t>
      </w:r>
      <w:r w:rsidR="005E3F6A" w:rsidRPr="00B04195">
        <w:t>substances</w:t>
      </w:r>
      <w:r w:rsidR="002807F4" w:rsidRPr="00B04195">
        <w:t xml:space="preserve"> of</w:t>
      </w:r>
      <w:r w:rsidR="005E3F6A" w:rsidRPr="00B04195">
        <w:t xml:space="preserve"> </w:t>
      </w:r>
      <w:r w:rsidR="00374B7E" w:rsidRPr="00B04195">
        <w:t xml:space="preserve">category 1A, 1B or 2 </w:t>
      </w:r>
      <w:r w:rsidR="00E4542B" w:rsidRPr="00B04195">
        <w:t xml:space="preserve">that </w:t>
      </w:r>
      <w:r w:rsidR="00CC2C3A" w:rsidRPr="00B04195">
        <w:t xml:space="preserve">present </w:t>
      </w:r>
      <w:r w:rsidR="00973B93" w:rsidRPr="00B04195">
        <w:t>th</w:t>
      </w:r>
      <w:r w:rsidR="00F10AEE" w:rsidRPr="00B04195">
        <w:t>is</w:t>
      </w:r>
      <w:r w:rsidR="00973B93" w:rsidRPr="00B04195">
        <w:t xml:space="preserve"> hazard </w:t>
      </w:r>
      <w:r w:rsidR="00307A9D" w:rsidRPr="00B04195">
        <w:t>due to effects following exposure by inhalation</w:t>
      </w:r>
      <w:r w:rsidR="00E9685D" w:rsidRPr="00B04195">
        <w:t xml:space="preserve"> only</w:t>
      </w:r>
      <w:r w:rsidR="002D48C6" w:rsidRPr="00B04195">
        <w:t>.</w:t>
      </w:r>
      <w:r w:rsidRPr="00B04195">
        <w:t xml:space="preserve"> RAC considered that substances presenting </w:t>
      </w:r>
      <w:r w:rsidR="00973B93" w:rsidRPr="00B04195">
        <w:t xml:space="preserve">such </w:t>
      </w:r>
      <w:r w:rsidR="00F10AEE" w:rsidRPr="00B04195">
        <w:t xml:space="preserve">a </w:t>
      </w:r>
      <w:r w:rsidR="00973B93" w:rsidRPr="00B04195">
        <w:t xml:space="preserve">hazard </w:t>
      </w:r>
      <w:r w:rsidR="002D48C6" w:rsidRPr="00B04195">
        <w:t xml:space="preserve">due to effects following exposure </w:t>
      </w:r>
      <w:r w:rsidRPr="00B04195">
        <w:t>by inhalation</w:t>
      </w:r>
      <w:r w:rsidR="00B04195">
        <w:t xml:space="preserve"> </w:t>
      </w:r>
      <w:r w:rsidRPr="00B04195">
        <w:t xml:space="preserve">only </w:t>
      </w:r>
      <w:r w:rsidR="000121FE" w:rsidRPr="00B04195">
        <w:t xml:space="preserve">were </w:t>
      </w:r>
      <w:r w:rsidR="004E50D3" w:rsidRPr="00B04195">
        <w:t xml:space="preserve">not relevant </w:t>
      </w:r>
      <w:r w:rsidRPr="00B04195">
        <w:t xml:space="preserve">in the case of </w:t>
      </w:r>
      <w:r w:rsidR="004E50D3" w:rsidRPr="00B04195">
        <w:t xml:space="preserve">intradermal exposure to </w:t>
      </w:r>
      <w:r w:rsidR="00442AE4" w:rsidRPr="00B04195">
        <w:t xml:space="preserve">mixtures </w:t>
      </w:r>
      <w:r w:rsidRPr="00B04195">
        <w:t xml:space="preserve">used </w:t>
      </w:r>
      <w:r w:rsidR="00442AE4" w:rsidRPr="00B04195">
        <w:t>for tattooing purposes</w:t>
      </w:r>
      <w:r w:rsidR="005E3F6A" w:rsidRPr="00B04195">
        <w:t>. In addition, RAC support</w:t>
      </w:r>
      <w:r w:rsidR="0014032F" w:rsidRPr="00B04195">
        <w:t>ed</w:t>
      </w:r>
      <w:r w:rsidR="005E3F6A" w:rsidRPr="00B04195">
        <w:t xml:space="preserve"> </w:t>
      </w:r>
      <w:r w:rsidR="002807F4" w:rsidRPr="00B04195">
        <w:t>the</w:t>
      </w:r>
      <w:r w:rsidR="000C3F40" w:rsidRPr="00B04195">
        <w:t xml:space="preserve"> </w:t>
      </w:r>
      <w:r w:rsidR="005E3F6A" w:rsidRPr="00B04195">
        <w:t>modifi</w:t>
      </w:r>
      <w:r w:rsidR="000C3F40" w:rsidRPr="00B04195">
        <w:t xml:space="preserve">cation </w:t>
      </w:r>
      <w:r w:rsidR="000121FE" w:rsidRPr="00B04195">
        <w:t xml:space="preserve">put forward </w:t>
      </w:r>
      <w:r w:rsidR="00326380" w:rsidRPr="00B04195">
        <w:t xml:space="preserve">by the </w:t>
      </w:r>
      <w:r w:rsidR="00CC2C3A" w:rsidRPr="00B04195">
        <w:t>dossier s</w:t>
      </w:r>
      <w:r w:rsidR="00326380" w:rsidRPr="00B04195">
        <w:t>ubmitter</w:t>
      </w:r>
      <w:r w:rsidR="00CC2C3A" w:rsidRPr="00B04195">
        <w:t>s</w:t>
      </w:r>
      <w:r w:rsidR="009E3590" w:rsidRPr="00B04195">
        <w:t xml:space="preserve"> in response to </w:t>
      </w:r>
      <w:r w:rsidR="005B1250" w:rsidRPr="00B04195">
        <w:t xml:space="preserve">advice </w:t>
      </w:r>
      <w:r w:rsidR="000121FE" w:rsidRPr="00B04195">
        <w:t xml:space="preserve">given </w:t>
      </w:r>
      <w:r w:rsidR="005B1250" w:rsidRPr="00B04195">
        <w:t xml:space="preserve">by </w:t>
      </w:r>
      <w:r w:rsidR="00457C95" w:rsidRPr="00B04195">
        <w:t xml:space="preserve">the </w:t>
      </w:r>
      <w:r w:rsidR="0054311E" w:rsidRPr="00B04195">
        <w:t>Forum</w:t>
      </w:r>
      <w:r w:rsidR="009E3590" w:rsidRPr="00B04195">
        <w:t xml:space="preserve"> </w:t>
      </w:r>
      <w:r w:rsidR="00140E37" w:rsidRPr="00B04195">
        <w:t>during the opinion</w:t>
      </w:r>
      <w:r w:rsidR="00457C95" w:rsidRPr="00B04195">
        <w:t>-</w:t>
      </w:r>
      <w:r w:rsidR="00140E37" w:rsidRPr="00B04195">
        <w:t>making process</w:t>
      </w:r>
      <w:r w:rsidR="000121FE" w:rsidRPr="00B04195">
        <w:t xml:space="preserve">. </w:t>
      </w:r>
      <w:r w:rsidR="000C3F40" w:rsidRPr="00B04195">
        <w:t>The Forum</w:t>
      </w:r>
      <w:r w:rsidR="000121FE" w:rsidRPr="00B04195">
        <w:t xml:space="preserve"> proposed</w:t>
      </w:r>
      <w:r w:rsidR="005E3F6A" w:rsidRPr="00B04195">
        <w:t xml:space="preserve"> to exempt substances that are gases at standard temperature and pressure</w:t>
      </w:r>
      <w:r w:rsidR="00377DC4" w:rsidRPr="00B04195">
        <w:t>,</w:t>
      </w:r>
      <w:r w:rsidR="00F71479" w:rsidRPr="00B04195">
        <w:t xml:space="preserve"> since they are not expected to be found in </w:t>
      </w:r>
      <w:r w:rsidR="004369AD" w:rsidRPr="00B04195">
        <w:t>m</w:t>
      </w:r>
      <w:r w:rsidR="008F7FD7" w:rsidRPr="00B04195">
        <w:t xml:space="preserve">ixtures </w:t>
      </w:r>
      <w:r w:rsidRPr="00B04195">
        <w:t xml:space="preserve">used </w:t>
      </w:r>
      <w:r w:rsidR="008F7FD7" w:rsidRPr="00B04195">
        <w:t>for tattooing purposes</w:t>
      </w:r>
      <w:r w:rsidR="004369AD" w:rsidRPr="00B04195">
        <w:t xml:space="preserve"> </w:t>
      </w:r>
      <w:r w:rsidR="00F71479" w:rsidRPr="00B04195">
        <w:t>due to</w:t>
      </w:r>
      <w:r w:rsidR="00F71479">
        <w:t xml:space="preserve"> their physical state</w:t>
      </w:r>
      <w:r w:rsidR="005E3F6A">
        <w:t xml:space="preserve">. </w:t>
      </w:r>
      <w:r w:rsidR="000121FE">
        <w:t xml:space="preserve">The only exception would be formaldehyde since the public consultation indicated that formaldehyde can be found in tattoo inks in a dissolved state. </w:t>
      </w:r>
      <w:r w:rsidR="006A4298" w:rsidRPr="00C97CDB">
        <w:t xml:space="preserve">RAC also </w:t>
      </w:r>
      <w:r w:rsidR="00A00117">
        <w:t xml:space="preserve">agreed </w:t>
      </w:r>
      <w:r w:rsidR="006A4298" w:rsidRPr="00C97CDB">
        <w:t xml:space="preserve">that </w:t>
      </w:r>
      <w:r w:rsidR="003A5A6D">
        <w:t>risk</w:t>
      </w:r>
      <w:r w:rsidR="00CF10C8">
        <w:t>s</w:t>
      </w:r>
      <w:r w:rsidR="00C97CDB" w:rsidRPr="00C97CDB">
        <w:t xml:space="preserve"> </w:t>
      </w:r>
      <w:r w:rsidR="00A00117">
        <w:t>of</w:t>
      </w:r>
      <w:r w:rsidR="00C97CDB" w:rsidRPr="00C97CDB">
        <w:t xml:space="preserve"> exposure </w:t>
      </w:r>
      <w:r>
        <w:t xml:space="preserve">by </w:t>
      </w:r>
      <w:r w:rsidR="00377DC4">
        <w:t xml:space="preserve">tattoo artists to </w:t>
      </w:r>
      <w:r w:rsidR="004369AD">
        <w:t>m</w:t>
      </w:r>
      <w:r w:rsidR="008F7FD7">
        <w:t xml:space="preserve">ixtures </w:t>
      </w:r>
      <w:r>
        <w:t xml:space="preserve">administered by them </w:t>
      </w:r>
      <w:r w:rsidR="008F7FD7">
        <w:t>for tattooing purposes</w:t>
      </w:r>
      <w:r w:rsidR="004369AD">
        <w:t xml:space="preserve"> </w:t>
      </w:r>
      <w:r w:rsidR="00C97CDB" w:rsidRPr="00C97CDB">
        <w:t xml:space="preserve">are out of the scope of </w:t>
      </w:r>
      <w:r>
        <w:t xml:space="preserve">the Annex XV </w:t>
      </w:r>
      <w:r w:rsidR="00973B93">
        <w:t xml:space="preserve">dossier </w:t>
      </w:r>
      <w:r w:rsidR="00D43E5F">
        <w:t>.</w:t>
      </w:r>
      <w:r w:rsidR="00C97CDB" w:rsidRPr="00C97CDB">
        <w:t xml:space="preserve"> </w:t>
      </w:r>
    </w:p>
    <w:p w14:paraId="668F3628" w14:textId="7E8BE87A" w:rsidR="00457C95" w:rsidRDefault="00F823AF" w:rsidP="005E3F6A">
      <w:pPr>
        <w:pStyle w:val="Considrant"/>
      </w:pPr>
      <w:r w:rsidRPr="006C77CA">
        <w:t xml:space="preserve">RAC did not support the </w:t>
      </w:r>
      <w:r w:rsidR="00CC2C3A">
        <w:t>d</w:t>
      </w:r>
      <w:r w:rsidRPr="006C77CA">
        <w:t xml:space="preserve">ossier </w:t>
      </w:r>
      <w:r w:rsidR="00CC2C3A">
        <w:t>s</w:t>
      </w:r>
      <w:r w:rsidRPr="006C77CA">
        <w:t>ubmitter</w:t>
      </w:r>
      <w:r>
        <w:t>s</w:t>
      </w:r>
      <w:r w:rsidR="00CC2C3A">
        <w:t>’</w:t>
      </w:r>
      <w:r w:rsidRPr="006C77CA">
        <w:t xml:space="preserve"> proposal</w:t>
      </w:r>
      <w:r>
        <w:t xml:space="preserve"> for </w:t>
      </w:r>
      <w:r w:rsidR="00A66C23">
        <w:t>exclusion</w:t>
      </w:r>
      <w:r w:rsidRPr="00F56C40">
        <w:t xml:space="preserve"> from the scope of the restriction</w:t>
      </w:r>
      <w:r w:rsidR="000E77A2">
        <w:t xml:space="preserve"> </w:t>
      </w:r>
      <w:r w:rsidR="006768AB">
        <w:t>of</w:t>
      </w:r>
      <w:r w:rsidR="000121FE">
        <w:t xml:space="preserve"> </w:t>
      </w:r>
      <w:r w:rsidR="00196FD8" w:rsidRPr="006C77CA">
        <w:t xml:space="preserve">21 </w:t>
      </w:r>
      <w:r w:rsidR="000121FE">
        <w:t>colorants</w:t>
      </w:r>
      <w:r w:rsidR="00B04F53">
        <w:t xml:space="preserve"> (19 non-phthalocyanine and 2 phthalocyanine pigments)</w:t>
      </w:r>
      <w:r w:rsidR="00CC2C3A">
        <w:t>. Those colorants</w:t>
      </w:r>
      <w:r w:rsidR="00B04F53">
        <w:t xml:space="preserve"> </w:t>
      </w:r>
      <w:r w:rsidR="00196FD8" w:rsidRPr="000121FE">
        <w:t xml:space="preserve">are banned </w:t>
      </w:r>
      <w:r w:rsidR="00FA6ACB" w:rsidRPr="000121FE">
        <w:t xml:space="preserve">by </w:t>
      </w:r>
      <w:r w:rsidR="00196FD8" w:rsidRPr="000121FE">
        <w:t>Annex</w:t>
      </w:r>
      <w:r w:rsidR="009749E4">
        <w:t> </w:t>
      </w:r>
      <w:r w:rsidR="00196FD8" w:rsidRPr="000121FE">
        <w:t xml:space="preserve">II to </w:t>
      </w:r>
      <w:r w:rsidR="00E22473" w:rsidRPr="000121FE">
        <w:t>Regulation (EC) No 1223/2009</w:t>
      </w:r>
      <w:r w:rsidR="000121FE" w:rsidRPr="000121FE">
        <w:t xml:space="preserve"> </w:t>
      </w:r>
      <w:r>
        <w:t xml:space="preserve">for use in hair </w:t>
      </w:r>
      <w:r w:rsidR="000121FE" w:rsidRPr="007763E1">
        <w:t>colours</w:t>
      </w:r>
      <w:r w:rsidR="00485697">
        <w:t>. H</w:t>
      </w:r>
      <w:r w:rsidR="003A5A6D">
        <w:t>owever</w:t>
      </w:r>
      <w:r w:rsidR="00485697">
        <w:t>,</w:t>
      </w:r>
      <w:r w:rsidR="003A5A6D">
        <w:t xml:space="preserve"> the blue phthalocyanine </w:t>
      </w:r>
      <w:r w:rsidR="009C0C6E">
        <w:t xml:space="preserve">colorant </w:t>
      </w:r>
      <w:r w:rsidR="00973B93">
        <w:t xml:space="preserve">(Pigment </w:t>
      </w:r>
      <w:r w:rsidR="00736FB8">
        <w:t>B</w:t>
      </w:r>
      <w:r w:rsidR="00973B93">
        <w:t xml:space="preserve">lue 15:3) </w:t>
      </w:r>
      <w:r w:rsidR="003A5A6D">
        <w:t xml:space="preserve">is </w:t>
      </w:r>
      <w:r w:rsidR="00196FD8" w:rsidRPr="006C77CA">
        <w:t xml:space="preserve">allowed </w:t>
      </w:r>
      <w:r w:rsidR="00FA6ACB">
        <w:t>by</w:t>
      </w:r>
      <w:r w:rsidR="00196FD8" w:rsidRPr="006C77CA">
        <w:t xml:space="preserve"> Annex IV</w:t>
      </w:r>
      <w:r w:rsidR="00E22473" w:rsidRPr="006C77CA">
        <w:t xml:space="preserve"> to </w:t>
      </w:r>
      <w:r w:rsidR="000121FE">
        <w:t xml:space="preserve">that </w:t>
      </w:r>
      <w:r w:rsidR="00CC2C96" w:rsidRPr="006C77CA">
        <w:t xml:space="preserve">Regulation </w:t>
      </w:r>
      <w:r w:rsidR="00457C95">
        <w:t xml:space="preserve">for use </w:t>
      </w:r>
      <w:r w:rsidR="000121FE" w:rsidRPr="006C77CA">
        <w:t>in other cosmetic products</w:t>
      </w:r>
      <w:r w:rsidR="003A5A6D">
        <w:t xml:space="preserve"> while the green phthalocyanine</w:t>
      </w:r>
      <w:r w:rsidR="00973B93">
        <w:t xml:space="preserve"> </w:t>
      </w:r>
      <w:r w:rsidR="009C0C6E">
        <w:t xml:space="preserve">colorant </w:t>
      </w:r>
      <w:r w:rsidR="00973B93">
        <w:t xml:space="preserve">(Pigment </w:t>
      </w:r>
      <w:r w:rsidR="00736FB8">
        <w:t>G</w:t>
      </w:r>
      <w:r w:rsidR="00973B93">
        <w:t xml:space="preserve">reen 7) </w:t>
      </w:r>
      <w:r w:rsidR="003A5A6D">
        <w:t xml:space="preserve"> </w:t>
      </w:r>
      <w:r w:rsidR="00485697">
        <w:t xml:space="preserve">is allowed for other cosmetic products other than </w:t>
      </w:r>
      <w:r w:rsidR="003A5A6D">
        <w:t>eye products</w:t>
      </w:r>
      <w:r>
        <w:t>.</w:t>
      </w:r>
      <w:r w:rsidR="008B0427" w:rsidRPr="006C77CA">
        <w:t xml:space="preserve"> RAC </w:t>
      </w:r>
      <w:r w:rsidR="00CC2C3A">
        <w:t xml:space="preserve">considered that </w:t>
      </w:r>
      <w:r w:rsidR="008A2562">
        <w:t>t</w:t>
      </w:r>
      <w:r w:rsidR="00090BAF">
        <w:t xml:space="preserve">he risk of cancer </w:t>
      </w:r>
      <w:r w:rsidR="00457C95">
        <w:t xml:space="preserve">and </w:t>
      </w:r>
      <w:r>
        <w:t xml:space="preserve">possible </w:t>
      </w:r>
      <w:r w:rsidR="005F3BE9">
        <w:t>n</w:t>
      </w:r>
      <w:r w:rsidR="00C90E9C">
        <w:t xml:space="preserve">on-carcinogenic hazards </w:t>
      </w:r>
      <w:r w:rsidR="009977B5">
        <w:t xml:space="preserve">could not </w:t>
      </w:r>
      <w:r w:rsidR="00090BAF">
        <w:t xml:space="preserve">be ruled out for the majority of these </w:t>
      </w:r>
      <w:r w:rsidR="0026548C">
        <w:t>colorants</w:t>
      </w:r>
      <w:r w:rsidR="00485697">
        <w:t>,</w:t>
      </w:r>
      <w:r>
        <w:t xml:space="preserve"> </w:t>
      </w:r>
      <w:r w:rsidR="008B0427" w:rsidRPr="006C77CA">
        <w:t>primarily due to the lack of adequate information</w:t>
      </w:r>
      <w:r w:rsidR="000121FE">
        <w:t xml:space="preserve"> on their hazard properties and </w:t>
      </w:r>
      <w:r w:rsidR="0026548C">
        <w:t xml:space="preserve">on the </w:t>
      </w:r>
      <w:r w:rsidR="000121FE">
        <w:t>risk for human health</w:t>
      </w:r>
      <w:r w:rsidR="00270F3F">
        <w:t xml:space="preserve">. </w:t>
      </w:r>
      <w:r w:rsidR="00072B91">
        <w:t>Moreover, RA</w:t>
      </w:r>
      <w:r w:rsidR="000319C6">
        <w:t xml:space="preserve">C </w:t>
      </w:r>
      <w:r w:rsidR="000121FE">
        <w:t xml:space="preserve">noted </w:t>
      </w:r>
      <w:r w:rsidR="00072B91">
        <w:t xml:space="preserve">that during the </w:t>
      </w:r>
      <w:r w:rsidR="008B0427" w:rsidRPr="006C77CA">
        <w:t xml:space="preserve">public consultation </w:t>
      </w:r>
      <w:r w:rsidR="00CC2C3A">
        <w:t>stakeholders pointed out that</w:t>
      </w:r>
      <w:r w:rsidR="000121FE">
        <w:t xml:space="preserve"> </w:t>
      </w:r>
      <w:r w:rsidR="0014032F">
        <w:t xml:space="preserve">only </w:t>
      </w:r>
      <w:r w:rsidR="008B0427" w:rsidRPr="006C77CA">
        <w:t xml:space="preserve">two of </w:t>
      </w:r>
      <w:r w:rsidR="000121FE">
        <w:t>th</w:t>
      </w:r>
      <w:r w:rsidR="00485697">
        <w:t>e</w:t>
      </w:r>
      <w:r w:rsidR="000121FE">
        <w:t>se colorants</w:t>
      </w:r>
      <w:r w:rsidR="0014032F">
        <w:t>,</w:t>
      </w:r>
      <w:r w:rsidR="008B0427" w:rsidRPr="006C77CA">
        <w:t xml:space="preserve"> namely the two phthalocyanine-based </w:t>
      </w:r>
      <w:r w:rsidR="000121FE">
        <w:t xml:space="preserve">colorants </w:t>
      </w:r>
      <w:r w:rsidR="0063045C">
        <w:t>P</w:t>
      </w:r>
      <w:r w:rsidR="0028327D" w:rsidRPr="006C77CA">
        <w:t xml:space="preserve">igment </w:t>
      </w:r>
      <w:r w:rsidR="0063045C">
        <w:t>B</w:t>
      </w:r>
      <w:r w:rsidR="0028327D" w:rsidRPr="006C77CA">
        <w:t xml:space="preserve">lue </w:t>
      </w:r>
      <w:r w:rsidR="007A262E" w:rsidRPr="006C77CA">
        <w:t>15:</w:t>
      </w:r>
      <w:r w:rsidR="008B0427" w:rsidRPr="006C77CA">
        <w:t xml:space="preserve">3 and </w:t>
      </w:r>
      <w:r w:rsidR="0063045C">
        <w:t>P</w:t>
      </w:r>
      <w:r w:rsidR="0028327D" w:rsidRPr="006C77CA">
        <w:t>igment</w:t>
      </w:r>
      <w:r w:rsidR="00D43E5F">
        <w:t> </w:t>
      </w:r>
      <w:r w:rsidR="0063045C">
        <w:t>G</w:t>
      </w:r>
      <w:r w:rsidR="0028327D" w:rsidRPr="006C77CA">
        <w:t>reen</w:t>
      </w:r>
      <w:r w:rsidR="00D43E5F">
        <w:t> </w:t>
      </w:r>
      <w:r w:rsidR="008B0427" w:rsidRPr="006C77CA">
        <w:t>7</w:t>
      </w:r>
      <w:r w:rsidR="00CC2C3A">
        <w:t xml:space="preserve">, </w:t>
      </w:r>
      <w:r w:rsidR="000121FE">
        <w:t xml:space="preserve">were </w:t>
      </w:r>
      <w:r w:rsidR="008B0427" w:rsidRPr="006C77CA">
        <w:t xml:space="preserve">essential for tattooing </w:t>
      </w:r>
      <w:r w:rsidR="00330AA6">
        <w:t xml:space="preserve">on account of the fact that </w:t>
      </w:r>
      <w:r w:rsidR="008B0427" w:rsidRPr="006C77CA">
        <w:t xml:space="preserve">there </w:t>
      </w:r>
      <w:r w:rsidR="000121FE">
        <w:t xml:space="preserve">were </w:t>
      </w:r>
      <w:r w:rsidR="008B0427" w:rsidRPr="006C77CA">
        <w:t xml:space="preserve">no </w:t>
      </w:r>
      <w:r w:rsidR="0070373C">
        <w:t xml:space="preserve">safer and </w:t>
      </w:r>
      <w:r w:rsidR="007A262E" w:rsidRPr="006C77CA">
        <w:t>technically</w:t>
      </w:r>
      <w:r w:rsidR="00270F3F">
        <w:t xml:space="preserve"> </w:t>
      </w:r>
      <w:r w:rsidR="0071474D">
        <w:t xml:space="preserve">adequate </w:t>
      </w:r>
      <w:r w:rsidR="00270F3F">
        <w:t>alternatives available</w:t>
      </w:r>
      <w:r w:rsidR="00F208F2">
        <w:t xml:space="preserve"> for them</w:t>
      </w:r>
      <w:r w:rsidR="00270F3F">
        <w:t>.</w:t>
      </w:r>
    </w:p>
    <w:p w14:paraId="1F1D8EF3" w14:textId="3C2B1B01" w:rsidR="00330AA6" w:rsidRPr="00901289" w:rsidRDefault="00C2608C" w:rsidP="00CC2C3A">
      <w:pPr>
        <w:pStyle w:val="Considrant"/>
      </w:pPr>
      <w:r w:rsidRPr="00C2608C">
        <w:t xml:space="preserve">RAC supported a dynamic link with both </w:t>
      </w:r>
      <w:r w:rsidR="00CC2C3A" w:rsidRPr="00CC2C3A">
        <w:t>Regulation (EC) No 1223/2009</w:t>
      </w:r>
      <w:r w:rsidRPr="00C2608C">
        <w:t xml:space="preserve"> and </w:t>
      </w:r>
      <w:r w:rsidR="00CC2C3A">
        <w:t>Regulation (EC) No 1272/2008</w:t>
      </w:r>
      <w:r w:rsidRPr="00C2608C">
        <w:t xml:space="preserve"> as </w:t>
      </w:r>
      <w:r w:rsidR="009749E4">
        <w:t xml:space="preserve">such </w:t>
      </w:r>
      <w:r w:rsidR="00CC2C3A">
        <w:t>links</w:t>
      </w:r>
      <w:r w:rsidRPr="00C2608C">
        <w:t xml:space="preserve"> </w:t>
      </w:r>
      <w:r w:rsidR="00330AA6">
        <w:t xml:space="preserve">provide greater protection </w:t>
      </w:r>
      <w:r w:rsidR="00926CE3">
        <w:t>for</w:t>
      </w:r>
      <w:r w:rsidR="00CC2C3A">
        <w:t xml:space="preserve"> </w:t>
      </w:r>
      <w:r w:rsidRPr="00C2608C">
        <w:t>human health</w:t>
      </w:r>
      <w:r w:rsidR="00CC2C3A">
        <w:t>.</w:t>
      </w:r>
      <w:r>
        <w:rPr>
          <w:i/>
        </w:rPr>
        <w:t xml:space="preserve"> </w:t>
      </w:r>
    </w:p>
    <w:p w14:paraId="4C01C1C4" w14:textId="2403F2FA" w:rsidR="00283697" w:rsidRPr="00C2608C" w:rsidRDefault="00C2608C" w:rsidP="00CC2C3A">
      <w:pPr>
        <w:pStyle w:val="Considrant"/>
      </w:pPr>
      <w:r w:rsidRPr="00C2608C">
        <w:t>RAC</w:t>
      </w:r>
      <w:r>
        <w:t xml:space="preserve"> </w:t>
      </w:r>
      <w:r w:rsidRPr="00C2608C">
        <w:t xml:space="preserve">agreed with the </w:t>
      </w:r>
      <w:r w:rsidR="00CC2C3A">
        <w:t>d</w:t>
      </w:r>
      <w:r w:rsidRPr="00C2608C">
        <w:t>ossier submitter</w:t>
      </w:r>
      <w:r w:rsidR="00CC2C3A">
        <w:t>s</w:t>
      </w:r>
      <w:r w:rsidRPr="00C2608C">
        <w:t xml:space="preserve"> that</w:t>
      </w:r>
      <w:r w:rsidR="00CC2C3A">
        <w:t>,</w:t>
      </w:r>
      <w:r w:rsidRPr="00C2608C">
        <w:t xml:space="preserve"> </w:t>
      </w:r>
      <w:r w:rsidR="00CC2C3A">
        <w:t xml:space="preserve">as regards </w:t>
      </w:r>
      <w:r w:rsidR="00330AA6">
        <w:t>the date when the new restriction should begin to apply</w:t>
      </w:r>
      <w:r w:rsidR="00CC2C3A">
        <w:t xml:space="preserve">, </w:t>
      </w:r>
      <w:r w:rsidRPr="00C2608C">
        <w:t xml:space="preserve">a transitional period of </w:t>
      </w:r>
      <w:r w:rsidR="00CC2C3A">
        <w:t>12 months</w:t>
      </w:r>
      <w:r w:rsidRPr="00C2608C">
        <w:t xml:space="preserve"> </w:t>
      </w:r>
      <w:r w:rsidR="00330AA6">
        <w:t xml:space="preserve">would </w:t>
      </w:r>
      <w:r w:rsidRPr="00C2608C">
        <w:t xml:space="preserve">allow sufficient time for actors in the supply chain to meet the </w:t>
      </w:r>
      <w:r w:rsidR="00330AA6">
        <w:t xml:space="preserve">new </w:t>
      </w:r>
      <w:r w:rsidRPr="00C2608C">
        <w:t>requirements</w:t>
      </w:r>
      <w:r w:rsidR="00CC2C3A">
        <w:t>.</w:t>
      </w:r>
      <w:r w:rsidRPr="00C2608C">
        <w:t xml:space="preserve"> </w:t>
      </w:r>
    </w:p>
    <w:p w14:paraId="7A734C99" w14:textId="32A2FBFB" w:rsidR="000352FA" w:rsidRDefault="00A844E4" w:rsidP="00F115DC">
      <w:pPr>
        <w:pStyle w:val="Considrant"/>
      </w:pPr>
      <w:r w:rsidRPr="0074513E">
        <w:t>On 15 March</w:t>
      </w:r>
      <w:r w:rsidR="00C71FB1" w:rsidRPr="0074513E">
        <w:t xml:space="preserve"> 201</w:t>
      </w:r>
      <w:r w:rsidR="00D24004" w:rsidRPr="0074513E">
        <w:t>9</w:t>
      </w:r>
      <w:r w:rsidR="00C71FB1" w:rsidRPr="0074513E">
        <w:t xml:space="preserve">, </w:t>
      </w:r>
      <w:r w:rsidR="000352FA" w:rsidRPr="00F13309">
        <w:t>the Agency’s</w:t>
      </w:r>
      <w:r w:rsidR="000352FA">
        <w:t xml:space="preserve"> Committee for</w:t>
      </w:r>
      <w:r w:rsidR="000352FA" w:rsidRPr="00F13309">
        <w:t xml:space="preserve"> Socio-</w:t>
      </w:r>
      <w:r w:rsidR="000352FA">
        <w:t>e</w:t>
      </w:r>
      <w:r w:rsidR="000352FA" w:rsidRPr="00F13309">
        <w:t xml:space="preserve">conomic </w:t>
      </w:r>
      <w:r w:rsidR="000352FA">
        <w:t>Analysis</w:t>
      </w:r>
      <w:r w:rsidR="000352FA" w:rsidRPr="00F13309">
        <w:t xml:space="preserve"> </w:t>
      </w:r>
      <w:r w:rsidR="007667A7">
        <w:t>(</w:t>
      </w:r>
      <w:r w:rsidR="00C71FB1" w:rsidRPr="0074513E">
        <w:t>SEAC</w:t>
      </w:r>
      <w:r w:rsidR="007667A7">
        <w:t>)</w:t>
      </w:r>
      <w:r w:rsidR="00C71FB1" w:rsidRPr="0074513E">
        <w:t xml:space="preserve"> adopted </w:t>
      </w:r>
      <w:r w:rsidR="00007EEB">
        <w:t>an</w:t>
      </w:r>
      <w:r w:rsidR="00C71FB1" w:rsidRPr="0074513E">
        <w:t xml:space="preserve"> opinion, indicating that the proposed restriction, </w:t>
      </w:r>
      <w:r w:rsidR="000121FE">
        <w:t xml:space="preserve">with the modifications proposed </w:t>
      </w:r>
      <w:r w:rsidR="00C71FB1" w:rsidRPr="0074513E">
        <w:t>by RAC</w:t>
      </w:r>
      <w:r w:rsidR="000352FA">
        <w:t xml:space="preserve"> and SEAC</w:t>
      </w:r>
      <w:r w:rsidR="00C71FB1" w:rsidRPr="0074513E">
        <w:t xml:space="preserve">, </w:t>
      </w:r>
      <w:r w:rsidR="000121FE">
        <w:t xml:space="preserve">was </w:t>
      </w:r>
      <w:r w:rsidR="00C71FB1" w:rsidRPr="0074513E">
        <w:t xml:space="preserve">the most appropriate Union-wide measure to </w:t>
      </w:r>
      <w:r w:rsidR="00C71FB1" w:rsidRPr="0026223B">
        <w:t>address the identified risks in terms of its socio-economic be</w:t>
      </w:r>
      <w:r w:rsidR="00270F3F">
        <w:t>nefits and socio-economic costs.</w:t>
      </w:r>
      <w:r w:rsidR="000352FA">
        <w:t xml:space="preserve"> </w:t>
      </w:r>
      <w:r w:rsidR="000352FA" w:rsidRPr="00601EC7">
        <w:t>SEAC reached th</w:t>
      </w:r>
      <w:r w:rsidR="000352FA">
        <w:t>at</w:t>
      </w:r>
      <w:r w:rsidR="000352FA" w:rsidRPr="00601EC7">
        <w:t xml:space="preserve"> conclusion based on </w:t>
      </w:r>
      <w:r w:rsidR="0097137B">
        <w:t xml:space="preserve">the </w:t>
      </w:r>
      <w:r w:rsidR="000352FA" w:rsidRPr="00601EC7">
        <w:t xml:space="preserve">best available </w:t>
      </w:r>
      <w:r w:rsidR="00B6049C">
        <w:t>information</w:t>
      </w:r>
      <w:r w:rsidR="000352FA" w:rsidRPr="00601EC7">
        <w:t xml:space="preserve">, </w:t>
      </w:r>
      <w:r w:rsidR="000352FA">
        <w:t>taking into account</w:t>
      </w:r>
      <w:r w:rsidR="00CC2C3A">
        <w:t xml:space="preserve"> </w:t>
      </w:r>
      <w:r w:rsidR="000352FA">
        <w:t xml:space="preserve">that the </w:t>
      </w:r>
      <w:r w:rsidR="000352FA" w:rsidRPr="000352FA">
        <w:t>significant benefits to society</w:t>
      </w:r>
      <w:r w:rsidR="0028327D">
        <w:t>,</w:t>
      </w:r>
      <w:r w:rsidR="000352FA" w:rsidRPr="000352FA">
        <w:t xml:space="preserve"> </w:t>
      </w:r>
      <w:r w:rsidR="0097137B">
        <w:t>in terms of</w:t>
      </w:r>
      <w:r w:rsidR="000352FA" w:rsidRPr="000352FA">
        <w:t xml:space="preserve"> </w:t>
      </w:r>
      <w:r w:rsidR="000121FE">
        <w:t xml:space="preserve">the </w:t>
      </w:r>
      <w:r w:rsidR="000352FA" w:rsidRPr="000352FA">
        <w:t>adverse skin effects and other health impacts</w:t>
      </w:r>
      <w:r w:rsidR="000121FE">
        <w:t xml:space="preserve"> that would be avoided</w:t>
      </w:r>
      <w:r w:rsidR="0028327D">
        <w:t>,</w:t>
      </w:r>
      <w:r w:rsidR="000352FA" w:rsidRPr="000352FA">
        <w:t xml:space="preserve"> </w:t>
      </w:r>
      <w:r w:rsidR="000121FE">
        <w:t xml:space="preserve">were </w:t>
      </w:r>
      <w:r w:rsidR="000352FA" w:rsidRPr="000352FA">
        <w:t>likely to be higher than the compliance costs</w:t>
      </w:r>
      <w:r w:rsidR="00F62B1C">
        <w:t xml:space="preserve"> for industry</w:t>
      </w:r>
      <w:r w:rsidR="00442AE4">
        <w:t>.</w:t>
      </w:r>
      <w:r w:rsidR="006D7C2D">
        <w:t xml:space="preserve"> </w:t>
      </w:r>
      <w:r w:rsidR="00442AE4">
        <w:t>Moreover, SEAC concluded</w:t>
      </w:r>
      <w:r w:rsidR="006D7C2D">
        <w:t xml:space="preserve"> that t</w:t>
      </w:r>
      <w:r w:rsidR="00CC2C3A">
        <w:t>he</w:t>
      </w:r>
      <w:r w:rsidR="000121FE">
        <w:t xml:space="preserve"> restriction would </w:t>
      </w:r>
      <w:r w:rsidR="000352FA" w:rsidRPr="000352FA">
        <w:t xml:space="preserve">not have </w:t>
      </w:r>
      <w:r w:rsidR="000121FE">
        <w:t xml:space="preserve">a </w:t>
      </w:r>
      <w:r w:rsidR="000352FA" w:rsidRPr="000352FA">
        <w:t xml:space="preserve">significant negative economic impact on </w:t>
      </w:r>
      <w:r w:rsidR="0097137B">
        <w:t xml:space="preserve">the </w:t>
      </w:r>
      <w:r w:rsidR="000352FA" w:rsidRPr="000352FA">
        <w:t>supply chains</w:t>
      </w:r>
      <w:r w:rsidR="000121FE">
        <w:t xml:space="preserve"> affected</w:t>
      </w:r>
      <w:r w:rsidR="006D7C2D">
        <w:t xml:space="preserve">, that </w:t>
      </w:r>
      <w:r w:rsidR="00CC2C3A">
        <w:t>it</w:t>
      </w:r>
      <w:r w:rsidR="000121FE">
        <w:t xml:space="preserve"> </w:t>
      </w:r>
      <w:r w:rsidR="00CC2C3A">
        <w:t xml:space="preserve">would be </w:t>
      </w:r>
      <w:r w:rsidR="000352FA" w:rsidRPr="000352FA">
        <w:t>affordable</w:t>
      </w:r>
      <w:r w:rsidR="003379CA">
        <w:t xml:space="preserve"> </w:t>
      </w:r>
      <w:r w:rsidR="00B6049C">
        <w:t>in terms of price increase</w:t>
      </w:r>
      <w:r w:rsidR="00457C95">
        <w:t>s</w:t>
      </w:r>
      <w:r w:rsidR="00B6049C">
        <w:t xml:space="preserve"> to consumers </w:t>
      </w:r>
      <w:r w:rsidR="003379CA">
        <w:t xml:space="preserve">and </w:t>
      </w:r>
      <w:r w:rsidR="006D7C2D">
        <w:t xml:space="preserve">that the restriction </w:t>
      </w:r>
      <w:r w:rsidR="00CC2C3A">
        <w:t>would</w:t>
      </w:r>
      <w:r w:rsidR="000121FE">
        <w:t xml:space="preserve"> minimise </w:t>
      </w:r>
      <w:r w:rsidR="005B7CB5">
        <w:t xml:space="preserve">risks </w:t>
      </w:r>
      <w:r w:rsidR="000352FA" w:rsidRPr="000352FA">
        <w:t xml:space="preserve">of regrettable substitution.  </w:t>
      </w:r>
    </w:p>
    <w:p w14:paraId="344E85F7" w14:textId="77777777" w:rsidR="007667A7" w:rsidRDefault="00C71FB1" w:rsidP="00AB2DE0">
      <w:pPr>
        <w:pStyle w:val="Considrant"/>
      </w:pPr>
      <w:r w:rsidRPr="0026223B">
        <w:t xml:space="preserve">SEAC </w:t>
      </w:r>
      <w:r w:rsidR="000121FE">
        <w:t xml:space="preserve">agreed </w:t>
      </w:r>
      <w:r w:rsidRPr="0026223B">
        <w:t xml:space="preserve">with the conclusions in the Annex XV dossier </w:t>
      </w:r>
      <w:r w:rsidR="00C2608C">
        <w:t xml:space="preserve">and </w:t>
      </w:r>
      <w:r w:rsidR="00330AA6">
        <w:t xml:space="preserve">with </w:t>
      </w:r>
      <w:r w:rsidR="00C2608C">
        <w:t xml:space="preserve">RAC </w:t>
      </w:r>
      <w:r w:rsidRPr="0026223B">
        <w:t xml:space="preserve">that a </w:t>
      </w:r>
      <w:r w:rsidR="000121FE">
        <w:t xml:space="preserve">transitional period </w:t>
      </w:r>
      <w:r w:rsidRPr="0026223B">
        <w:t xml:space="preserve">of </w:t>
      </w:r>
      <w:r w:rsidR="00D24004" w:rsidRPr="0026223B">
        <w:t xml:space="preserve">12 </w:t>
      </w:r>
      <w:r w:rsidRPr="0026223B">
        <w:t>months seem</w:t>
      </w:r>
      <w:r w:rsidR="000121FE">
        <w:t>ed</w:t>
      </w:r>
      <w:r w:rsidRPr="0026223B">
        <w:t xml:space="preserve"> reasonable and sufficient to enable actors involved in the supply chains to comply with </w:t>
      </w:r>
      <w:r w:rsidR="000121FE">
        <w:t>the restriction</w:t>
      </w:r>
      <w:r w:rsidRPr="0026223B">
        <w:t xml:space="preserve">. </w:t>
      </w:r>
    </w:p>
    <w:p w14:paraId="43761C49" w14:textId="702976DC" w:rsidR="0064561B" w:rsidRPr="00B34FBA" w:rsidRDefault="0074513E" w:rsidP="00CC2C3A">
      <w:pPr>
        <w:pStyle w:val="Considrant"/>
      </w:pPr>
      <w:r w:rsidRPr="0026223B">
        <w:t xml:space="preserve">SEAC </w:t>
      </w:r>
      <w:r w:rsidR="00F115DC">
        <w:t xml:space="preserve">also </w:t>
      </w:r>
      <w:r w:rsidRPr="0026223B">
        <w:t>support</w:t>
      </w:r>
      <w:r w:rsidR="0064561B">
        <w:t>ed</w:t>
      </w:r>
      <w:r w:rsidRPr="0026223B">
        <w:t xml:space="preserve"> </w:t>
      </w:r>
      <w:r w:rsidR="000121FE">
        <w:t xml:space="preserve">creating </w:t>
      </w:r>
      <w:r w:rsidRPr="0026223B">
        <w:t xml:space="preserve">a dynamic link with Regulation (EC) No 1272/2008 </w:t>
      </w:r>
      <w:r w:rsidR="000121FE">
        <w:t xml:space="preserve">that would </w:t>
      </w:r>
      <w:r w:rsidR="00F115DC" w:rsidRPr="00F115DC">
        <w:t xml:space="preserve">take into account any </w:t>
      </w:r>
      <w:r w:rsidR="000121FE">
        <w:t xml:space="preserve">future changes to the </w:t>
      </w:r>
      <w:r w:rsidR="00330AA6">
        <w:t xml:space="preserve">classification of </w:t>
      </w:r>
      <w:r w:rsidR="00CC2C3A">
        <w:t xml:space="preserve">substances </w:t>
      </w:r>
      <w:r w:rsidR="00CC2C3A" w:rsidRPr="00426905">
        <w:t>listed in Part 3 of Annex VI</w:t>
      </w:r>
      <w:r w:rsidR="000121FE" w:rsidRPr="00426905">
        <w:t xml:space="preserve"> </w:t>
      </w:r>
      <w:r w:rsidR="00CC2C3A" w:rsidRPr="00426905">
        <w:t xml:space="preserve">of </w:t>
      </w:r>
      <w:r w:rsidR="000121FE" w:rsidRPr="00426905">
        <w:t>that Regulation</w:t>
      </w:r>
      <w:r w:rsidR="000E7ECC">
        <w:t xml:space="preserve"> on the grounds that it </w:t>
      </w:r>
      <w:r w:rsidR="00330AA6">
        <w:t xml:space="preserve">would produce </w:t>
      </w:r>
      <w:r w:rsidR="000E7ECC">
        <w:t>human health benefits</w:t>
      </w:r>
      <w:r w:rsidR="00330AA6">
        <w:t xml:space="preserve"> more quickly</w:t>
      </w:r>
      <w:r w:rsidR="0064561B" w:rsidRPr="00426905">
        <w:t>.</w:t>
      </w:r>
      <w:r w:rsidR="0064561B">
        <w:t xml:space="preserve"> </w:t>
      </w:r>
      <w:r w:rsidR="009B4C12">
        <w:t>W</w:t>
      </w:r>
      <w:r w:rsidRPr="0026223B">
        <w:t xml:space="preserve">ith regard to </w:t>
      </w:r>
      <w:r w:rsidR="000121FE">
        <w:t xml:space="preserve">future changes to </w:t>
      </w:r>
      <w:r w:rsidR="0026223B" w:rsidRPr="0026223B">
        <w:t xml:space="preserve">Annex II </w:t>
      </w:r>
      <w:r w:rsidR="00AB2DE0">
        <w:t>o</w:t>
      </w:r>
      <w:r w:rsidR="000121FE">
        <w:t>r</w:t>
      </w:r>
      <w:r w:rsidR="00AB2DE0">
        <w:t xml:space="preserve"> Annex</w:t>
      </w:r>
      <w:r w:rsidR="0026223B" w:rsidRPr="0026223B">
        <w:t xml:space="preserve"> IV </w:t>
      </w:r>
      <w:r w:rsidR="00AB2DE0">
        <w:t>t</w:t>
      </w:r>
      <w:r w:rsidR="0026223B" w:rsidRPr="0026223B">
        <w:t xml:space="preserve">o </w:t>
      </w:r>
      <w:r w:rsidRPr="0026223B">
        <w:t xml:space="preserve">Regulation (EC) No 1223/2009, </w:t>
      </w:r>
      <w:r w:rsidR="0064561B">
        <w:t xml:space="preserve">SEAC expressed a </w:t>
      </w:r>
      <w:r w:rsidR="0064561B" w:rsidRPr="00FF57FA">
        <w:t>slight</w:t>
      </w:r>
      <w:r w:rsidR="0064561B">
        <w:t xml:space="preserve"> preference for a static link</w:t>
      </w:r>
      <w:r w:rsidR="00D43E5F">
        <w:t>.</w:t>
      </w:r>
      <w:r w:rsidR="00CC2C3A">
        <w:t xml:space="preserve"> </w:t>
      </w:r>
      <w:r w:rsidR="00EC616E">
        <w:t>In SEAC’s opinion, a</w:t>
      </w:r>
      <w:r w:rsidR="00CC2C3A" w:rsidRPr="00827B16">
        <w:t>l</w:t>
      </w:r>
      <w:r w:rsidR="00995E81" w:rsidRPr="00827B16">
        <w:t xml:space="preserve">though </w:t>
      </w:r>
      <w:r w:rsidR="000121FE" w:rsidRPr="00827B16">
        <w:t xml:space="preserve">a static link </w:t>
      </w:r>
      <w:r w:rsidR="00510760" w:rsidRPr="00C52B4F">
        <w:t>may</w:t>
      </w:r>
      <w:r w:rsidR="00995E81" w:rsidRPr="00C52B4F">
        <w:t xml:space="preserve"> result in a delay in </w:t>
      </w:r>
      <w:r w:rsidR="000121FE" w:rsidRPr="003B26E3">
        <w:t xml:space="preserve">achieving </w:t>
      </w:r>
      <w:r w:rsidR="00995E81" w:rsidRPr="00043339">
        <w:t xml:space="preserve">the health benefits </w:t>
      </w:r>
      <w:r w:rsidR="000121FE" w:rsidRPr="00043339">
        <w:t xml:space="preserve">provided by </w:t>
      </w:r>
      <w:r w:rsidR="00995E81" w:rsidRPr="00043339">
        <w:t xml:space="preserve">the restriction, </w:t>
      </w:r>
      <w:r w:rsidR="00F62B1C" w:rsidRPr="00711A0E">
        <w:t xml:space="preserve">it </w:t>
      </w:r>
      <w:r w:rsidR="000121FE" w:rsidRPr="00711A0E">
        <w:t xml:space="preserve">would </w:t>
      </w:r>
      <w:r w:rsidR="00F62B1C" w:rsidRPr="005B49B8">
        <w:t xml:space="preserve">allow for a proper </w:t>
      </w:r>
      <w:r w:rsidR="0076169C" w:rsidRPr="00445E5F">
        <w:t>scientific scrutiny</w:t>
      </w:r>
      <w:r w:rsidR="00F62B1C" w:rsidRPr="00445E5F">
        <w:t xml:space="preserve"> of the concentration limits </w:t>
      </w:r>
      <w:r w:rsidR="000121FE" w:rsidRPr="00445E5F">
        <w:t xml:space="preserve">appropriate for </w:t>
      </w:r>
      <w:r w:rsidR="00CC2C3A" w:rsidRPr="00445E5F">
        <w:t>the</w:t>
      </w:r>
      <w:r w:rsidR="00F62B1C" w:rsidRPr="00904465">
        <w:t xml:space="preserve"> </w:t>
      </w:r>
      <w:r w:rsidR="00CC2C3A" w:rsidRPr="00EB68DF">
        <w:t xml:space="preserve">specific </w:t>
      </w:r>
      <w:r w:rsidR="00F62B1C" w:rsidRPr="00F072C4">
        <w:t xml:space="preserve">use </w:t>
      </w:r>
      <w:r w:rsidR="00CC2C3A" w:rsidRPr="00F072C4">
        <w:t xml:space="preserve">of the substances </w:t>
      </w:r>
      <w:r w:rsidR="00F62B1C" w:rsidRPr="005844DF">
        <w:t>in tattoo</w:t>
      </w:r>
      <w:r w:rsidR="00CC2C3A" w:rsidRPr="005844DF">
        <w:t>ing procedures</w:t>
      </w:r>
      <w:r w:rsidR="00DA09B2" w:rsidRPr="005844DF">
        <w:t>,</w:t>
      </w:r>
      <w:r w:rsidR="00F62B1C" w:rsidRPr="005844DF">
        <w:t xml:space="preserve"> </w:t>
      </w:r>
      <w:r w:rsidR="000121FE" w:rsidRPr="00BC4EAD">
        <w:t xml:space="preserve">and also </w:t>
      </w:r>
      <w:r w:rsidR="004749F6" w:rsidRPr="00BC4EAD">
        <w:t xml:space="preserve">for a proper assessment </w:t>
      </w:r>
      <w:r w:rsidR="00F62B1C" w:rsidRPr="00B34FBA">
        <w:t>of the availability of alternatives.</w:t>
      </w:r>
    </w:p>
    <w:p w14:paraId="25280845" w14:textId="57FA6FEB" w:rsidR="0091795A" w:rsidRPr="00E914B8" w:rsidRDefault="009B79B0" w:rsidP="005F3BE9">
      <w:pPr>
        <w:pStyle w:val="Considrant"/>
      </w:pPr>
      <w:r w:rsidRPr="00925C25">
        <w:t xml:space="preserve">SEAC </w:t>
      </w:r>
      <w:r w:rsidR="00D03F7D">
        <w:t>agree</w:t>
      </w:r>
      <w:r w:rsidR="000121FE">
        <w:t>d</w:t>
      </w:r>
      <w:r w:rsidRPr="00925C25">
        <w:t xml:space="preserve"> with RAC </w:t>
      </w:r>
      <w:r w:rsidR="000121FE">
        <w:t xml:space="preserve">that it was appropriate </w:t>
      </w:r>
      <w:r w:rsidR="0026548C">
        <w:t xml:space="preserve">to restrict </w:t>
      </w:r>
      <w:r w:rsidR="000121FE">
        <w:t xml:space="preserve">the </w:t>
      </w:r>
      <w:r w:rsidRPr="00925C25">
        <w:t xml:space="preserve">19 </w:t>
      </w:r>
      <w:r w:rsidR="000121FE">
        <w:t xml:space="preserve">colorants </w:t>
      </w:r>
      <w:r w:rsidRPr="00925C25">
        <w:t>banned in cosmetic products as</w:t>
      </w:r>
      <w:r w:rsidR="00C03550" w:rsidRPr="00925C25">
        <w:t>,</w:t>
      </w:r>
      <w:r w:rsidRPr="00925C25">
        <w:t xml:space="preserve"> according to the information available</w:t>
      </w:r>
      <w:r w:rsidR="00C03550" w:rsidRPr="00925C25">
        <w:t>,</w:t>
      </w:r>
      <w:r w:rsidRPr="00925C25">
        <w:t xml:space="preserve"> </w:t>
      </w:r>
      <w:r w:rsidR="00C2608C">
        <w:t>some</w:t>
      </w:r>
      <w:r w:rsidRPr="00925C25">
        <w:t xml:space="preserve"> are not currently used </w:t>
      </w:r>
      <w:r w:rsidR="00161FF1">
        <w:t>for tattooing purposes</w:t>
      </w:r>
      <w:r w:rsidR="00C2608C">
        <w:t xml:space="preserve"> and there are alternatives available</w:t>
      </w:r>
      <w:r w:rsidR="004D7BF8" w:rsidRPr="00925C25">
        <w:t>.</w:t>
      </w:r>
      <w:r w:rsidRPr="00925C25">
        <w:t xml:space="preserve"> </w:t>
      </w:r>
      <w:r w:rsidR="004D7BF8" w:rsidRPr="00925C25">
        <w:t>H</w:t>
      </w:r>
      <w:r w:rsidRPr="00925C25">
        <w:t>owever</w:t>
      </w:r>
      <w:r w:rsidR="00C03550" w:rsidRPr="00925C25">
        <w:t>,</w:t>
      </w:r>
      <w:r w:rsidRPr="00925C25">
        <w:t xml:space="preserve"> for </w:t>
      </w:r>
      <w:r w:rsidR="000524C4">
        <w:t>P</w:t>
      </w:r>
      <w:r w:rsidRPr="00925C25">
        <w:t xml:space="preserve">igment </w:t>
      </w:r>
      <w:r w:rsidR="000524C4">
        <w:t>B</w:t>
      </w:r>
      <w:r w:rsidRPr="00925C25">
        <w:t>lue 15:3</w:t>
      </w:r>
      <w:r w:rsidR="00C2608C">
        <w:t xml:space="preserve"> and P</w:t>
      </w:r>
      <w:r w:rsidR="00C2608C" w:rsidRPr="00925C25">
        <w:t xml:space="preserve">igment </w:t>
      </w:r>
      <w:r w:rsidR="00C2608C">
        <w:t>G</w:t>
      </w:r>
      <w:r w:rsidR="00C2608C" w:rsidRPr="00925C25">
        <w:t>reen 7</w:t>
      </w:r>
      <w:r w:rsidR="009749E4">
        <w:t>,</w:t>
      </w:r>
      <w:r w:rsidR="00C2608C">
        <w:t xml:space="preserve"> </w:t>
      </w:r>
      <w:r w:rsidRPr="00925C25">
        <w:t xml:space="preserve">comments raised during the </w:t>
      </w:r>
      <w:r w:rsidR="004D7BF8" w:rsidRPr="00925C25">
        <w:t xml:space="preserve">public </w:t>
      </w:r>
      <w:r w:rsidRPr="00925C25">
        <w:t xml:space="preserve">consultation indicated </w:t>
      </w:r>
      <w:r w:rsidR="000121FE">
        <w:t xml:space="preserve">that </w:t>
      </w:r>
      <w:r w:rsidR="00457C95">
        <w:t xml:space="preserve">there were </w:t>
      </w:r>
      <w:r w:rsidR="000121FE">
        <w:t xml:space="preserve">no </w:t>
      </w:r>
      <w:r w:rsidRPr="00925C25">
        <w:t xml:space="preserve">safer </w:t>
      </w:r>
      <w:r w:rsidR="00D32E03" w:rsidRPr="00925C25">
        <w:t xml:space="preserve">and technically </w:t>
      </w:r>
      <w:r w:rsidR="0006266F" w:rsidRPr="00925C25">
        <w:t xml:space="preserve">feasible </w:t>
      </w:r>
      <w:r w:rsidRPr="00925C25">
        <w:t>alternatives</w:t>
      </w:r>
      <w:r w:rsidR="000121FE">
        <w:t xml:space="preserve"> available</w:t>
      </w:r>
      <w:r w:rsidR="00C2608C">
        <w:t xml:space="preserve"> to cover this spectrum of colours</w:t>
      </w:r>
      <w:r w:rsidR="000121FE">
        <w:t xml:space="preserve">. </w:t>
      </w:r>
      <w:r w:rsidR="00C2608C">
        <w:t>As regards Pigment Green 7</w:t>
      </w:r>
      <w:r w:rsidR="003E7C82" w:rsidRPr="00925C25">
        <w:t>,</w:t>
      </w:r>
      <w:r w:rsidR="00D32E03" w:rsidRPr="00925C25">
        <w:t xml:space="preserve"> </w:t>
      </w:r>
      <w:r w:rsidR="000121FE">
        <w:t xml:space="preserve">comments indicated that </w:t>
      </w:r>
      <w:r w:rsidR="00827B16">
        <w:t xml:space="preserve">it was largely replaced by </w:t>
      </w:r>
      <w:r w:rsidR="00F83423" w:rsidRPr="00925C25">
        <w:t xml:space="preserve">the brominated </w:t>
      </w:r>
      <w:r w:rsidR="002134DE">
        <w:t>P</w:t>
      </w:r>
      <w:r w:rsidR="00F83423" w:rsidRPr="00925C25">
        <w:t xml:space="preserve">igment </w:t>
      </w:r>
      <w:r w:rsidR="002134DE">
        <w:t>G</w:t>
      </w:r>
      <w:r w:rsidR="00F83423" w:rsidRPr="00925C25">
        <w:t xml:space="preserve">reen 36 </w:t>
      </w:r>
      <w:r w:rsidR="007667A7" w:rsidRPr="00925C25">
        <w:t>although</w:t>
      </w:r>
      <w:r w:rsidR="00F83423" w:rsidRPr="00925C25">
        <w:t xml:space="preserve"> </w:t>
      </w:r>
      <w:r w:rsidR="00D32E03" w:rsidRPr="00925C25">
        <w:t xml:space="preserve">RAC considered </w:t>
      </w:r>
      <w:r w:rsidR="00457C95">
        <w:t xml:space="preserve">that </w:t>
      </w:r>
      <w:r w:rsidR="00C2608C" w:rsidRPr="00C2608C">
        <w:t xml:space="preserve">Pigment Green 36 </w:t>
      </w:r>
      <w:r w:rsidR="000121FE">
        <w:t>was no</w:t>
      </w:r>
      <w:r w:rsidR="00C2608C">
        <w:t>t</w:t>
      </w:r>
      <w:r w:rsidR="000121FE">
        <w:t xml:space="preserve"> </w:t>
      </w:r>
      <w:r w:rsidR="00C2608C">
        <w:t xml:space="preserve">a </w:t>
      </w:r>
      <w:r w:rsidR="00D32E03" w:rsidRPr="00925C25">
        <w:t>less hazardous</w:t>
      </w:r>
      <w:r w:rsidR="00C2608C">
        <w:t xml:space="preserve"> alternative</w:t>
      </w:r>
      <w:r w:rsidR="004D7BF8" w:rsidRPr="00925C25">
        <w:t xml:space="preserve">. </w:t>
      </w:r>
      <w:r w:rsidR="008320B3" w:rsidRPr="00925C25">
        <w:t xml:space="preserve">Therefore, </w:t>
      </w:r>
      <w:r w:rsidR="00805278" w:rsidRPr="00925C25">
        <w:t>SEAC recommend</w:t>
      </w:r>
      <w:r w:rsidR="008320B3" w:rsidRPr="00925C25">
        <w:t>ed</w:t>
      </w:r>
      <w:r w:rsidR="00805278" w:rsidRPr="00925C25">
        <w:t xml:space="preserve"> a time</w:t>
      </w:r>
      <w:r w:rsidR="00457C95">
        <w:t>-</w:t>
      </w:r>
      <w:r w:rsidR="00805278" w:rsidRPr="00925C25">
        <w:t>limit</w:t>
      </w:r>
      <w:r w:rsidR="008320B3" w:rsidRPr="00925C25">
        <w:t>ed</w:t>
      </w:r>
      <w:r w:rsidR="00805278" w:rsidRPr="00925C25">
        <w:t xml:space="preserve"> derogation of </w:t>
      </w:r>
      <w:r w:rsidR="00A00117">
        <w:t>36</w:t>
      </w:r>
      <w:r w:rsidR="00A00117" w:rsidRPr="00925C25">
        <w:t xml:space="preserve"> </w:t>
      </w:r>
      <w:r w:rsidR="00430B7F" w:rsidRPr="00925C25">
        <w:t xml:space="preserve">months </w:t>
      </w:r>
      <w:r w:rsidR="00805278" w:rsidRPr="00925C25">
        <w:t xml:space="preserve">for </w:t>
      </w:r>
      <w:r w:rsidR="008320B3" w:rsidRPr="00925C25">
        <w:t>both pigments</w:t>
      </w:r>
      <w:r w:rsidR="00921B72">
        <w:t xml:space="preserve"> considering the time needed by </w:t>
      </w:r>
      <w:r w:rsidR="00F83423" w:rsidRPr="00921B72">
        <w:t xml:space="preserve">manufacturers to reformulate the </w:t>
      </w:r>
      <w:r w:rsidR="00CC2C3A" w:rsidRPr="00921B72">
        <w:t>mixtures</w:t>
      </w:r>
      <w:r w:rsidR="004D7BF8" w:rsidRPr="00921B72">
        <w:t>.</w:t>
      </w:r>
      <w:r w:rsidR="006C77CA" w:rsidRPr="00090BA8">
        <w:t xml:space="preserve"> </w:t>
      </w:r>
      <w:r w:rsidR="000121FE">
        <w:t xml:space="preserve">In addition, SEAC supported the exemption for </w:t>
      </w:r>
      <w:r w:rsidR="0028327D" w:rsidRPr="00090BA8">
        <w:t>gases at standard temperature and pressure</w:t>
      </w:r>
      <w:r w:rsidR="005F3BE9" w:rsidRPr="005F3BE9">
        <w:t xml:space="preserve"> </w:t>
      </w:r>
      <w:r w:rsidR="00D43E5F">
        <w:t xml:space="preserve">in line with RAC’s conclusion </w:t>
      </w:r>
      <w:r w:rsidR="005F3BE9" w:rsidRPr="005F3BE9">
        <w:t xml:space="preserve">that such gases are not expected to be found dissolved in </w:t>
      </w:r>
      <w:r w:rsidR="00442AE4">
        <w:t>mixtures for tattooing purposes</w:t>
      </w:r>
      <w:r w:rsidR="005F3BE9" w:rsidRPr="005F3BE9">
        <w:t>.</w:t>
      </w:r>
      <w:r w:rsidR="000121FE">
        <w:t xml:space="preserve"> </w:t>
      </w:r>
      <w:r w:rsidR="005F3BE9">
        <w:t>B</w:t>
      </w:r>
      <w:r w:rsidR="000121FE">
        <w:t>ased on information from the public consultation</w:t>
      </w:r>
      <w:r w:rsidR="005F3BE9" w:rsidRPr="005F3BE9">
        <w:t xml:space="preserve"> SEAC </w:t>
      </w:r>
      <w:r w:rsidR="006F7F0D">
        <w:t xml:space="preserve">also </w:t>
      </w:r>
      <w:r w:rsidR="005F3BE9" w:rsidRPr="005F3BE9">
        <w:t>supported the ex</w:t>
      </w:r>
      <w:r w:rsidR="00D43E5F">
        <w:t>clusion of formaldehyde from that</w:t>
      </w:r>
      <w:r w:rsidR="005F3BE9" w:rsidRPr="005F3BE9">
        <w:t xml:space="preserve"> </w:t>
      </w:r>
      <w:r w:rsidR="006F7F0D">
        <w:t>exemption</w:t>
      </w:r>
      <w:r w:rsidR="005F3BE9">
        <w:t>.</w:t>
      </w:r>
      <w:r w:rsidR="000121FE">
        <w:t xml:space="preserve"> </w:t>
      </w:r>
    </w:p>
    <w:p w14:paraId="0BD1FA30" w14:textId="77777777" w:rsidR="009B79B0" w:rsidRPr="0062530A" w:rsidRDefault="008D7942" w:rsidP="009C12A0">
      <w:pPr>
        <w:pStyle w:val="Considrant"/>
      </w:pPr>
      <w:r w:rsidRPr="00AF1A10">
        <w:t xml:space="preserve">SEAC </w:t>
      </w:r>
      <w:r w:rsidR="007C5122" w:rsidRPr="00AF1A10">
        <w:t xml:space="preserve">supported </w:t>
      </w:r>
      <w:r w:rsidR="00A13E56" w:rsidRPr="00AF1A10">
        <w:t xml:space="preserve">the inclusion </w:t>
      </w:r>
      <w:r w:rsidR="00F405ED" w:rsidRPr="00AF1A10">
        <w:t xml:space="preserve">of </w:t>
      </w:r>
      <w:r w:rsidR="007C5122" w:rsidRPr="00AF1A10">
        <w:t xml:space="preserve">labelling requirements </w:t>
      </w:r>
      <w:r w:rsidR="00830AE0">
        <w:t>and</w:t>
      </w:r>
      <w:r w:rsidR="001E015E">
        <w:t xml:space="preserve"> </w:t>
      </w:r>
      <w:r w:rsidR="002F7156">
        <w:t>recommended</w:t>
      </w:r>
      <w:r w:rsidR="00C2608C">
        <w:t xml:space="preserve"> </w:t>
      </w:r>
      <w:r w:rsidR="00AC43B0">
        <w:t xml:space="preserve">the alignment of </w:t>
      </w:r>
      <w:r w:rsidR="009C12A0">
        <w:t xml:space="preserve">the </w:t>
      </w:r>
      <w:r w:rsidR="00C35050">
        <w:t xml:space="preserve">labelling </w:t>
      </w:r>
      <w:r w:rsidR="006F7F0D">
        <w:t xml:space="preserve">requirements </w:t>
      </w:r>
      <w:r w:rsidR="00F42841">
        <w:t xml:space="preserve">with </w:t>
      </w:r>
      <w:r w:rsidR="00E76957">
        <w:t xml:space="preserve">the requirements of </w:t>
      </w:r>
      <w:r w:rsidR="00C2608C">
        <w:t>Regulation (EC) No 1272/2008</w:t>
      </w:r>
      <w:r w:rsidR="002F7156">
        <w:t xml:space="preserve">, </w:t>
      </w:r>
      <w:r w:rsidR="0074184E">
        <w:t>to</w:t>
      </w:r>
      <w:r w:rsidR="002F7156">
        <w:t xml:space="preserve"> prevent </w:t>
      </w:r>
      <w:r w:rsidR="004B366B">
        <w:t>duplication</w:t>
      </w:r>
      <w:r w:rsidR="00952020">
        <w:t xml:space="preserve"> of</w:t>
      </w:r>
      <w:r w:rsidR="002F7156">
        <w:t xml:space="preserve"> information.</w:t>
      </w:r>
      <w:r w:rsidR="00270F3F">
        <w:t xml:space="preserve"> </w:t>
      </w:r>
    </w:p>
    <w:p w14:paraId="1177C2FB" w14:textId="77777777" w:rsidR="001A069F" w:rsidRDefault="001A069F" w:rsidP="00F236E2">
      <w:pPr>
        <w:pStyle w:val="Considrant"/>
      </w:pPr>
      <w:r>
        <w:t xml:space="preserve">The Forum was consulted on the proposed restriction </w:t>
      </w:r>
      <w:r w:rsidR="00F236E2" w:rsidRPr="00F236E2">
        <w:t xml:space="preserve">in accordance with Article 77(4)(h) of Regulation (EC) No 1907/2006 </w:t>
      </w:r>
      <w:r>
        <w:t>and its recommendations have been taken into account.</w:t>
      </w:r>
    </w:p>
    <w:p w14:paraId="3A7FCBDC" w14:textId="77777777" w:rsidR="00DD2454" w:rsidRDefault="000A031B" w:rsidP="00633CD6">
      <w:pPr>
        <w:pStyle w:val="Considrant"/>
      </w:pPr>
      <w:r w:rsidRPr="00805278">
        <w:t xml:space="preserve">On </w:t>
      </w:r>
      <w:r w:rsidR="00805278" w:rsidRPr="00805278">
        <w:t>11 June</w:t>
      </w:r>
      <w:r w:rsidR="00D24004" w:rsidRPr="00805278">
        <w:t xml:space="preserve"> 2019</w:t>
      </w:r>
      <w:r w:rsidRPr="00805278">
        <w:t>, the Agency submitted the opinions of RAC and SEAC</w:t>
      </w:r>
      <w:r w:rsidR="007B6CFD" w:rsidRPr="00805278">
        <w:rPr>
          <w:rStyle w:val="FootnoteReference"/>
        </w:rPr>
        <w:footnoteReference w:id="11"/>
      </w:r>
      <w:r w:rsidRPr="00805278">
        <w:t xml:space="preserve"> to the Commission. </w:t>
      </w:r>
    </w:p>
    <w:p w14:paraId="53BC84FF" w14:textId="59525C94" w:rsidR="001A069F" w:rsidRPr="00EC5E39" w:rsidRDefault="00DD2454" w:rsidP="006F7F0D">
      <w:pPr>
        <w:pStyle w:val="Considrant"/>
      </w:pPr>
      <w:r w:rsidRPr="00DD2454">
        <w:t>Taking into account the Annex XV dossier</w:t>
      </w:r>
      <w:r w:rsidR="001E015E">
        <w:t xml:space="preserve"> and</w:t>
      </w:r>
      <w:r w:rsidRPr="00DD2454">
        <w:t xml:space="preserve"> </w:t>
      </w:r>
      <w:r>
        <w:t>the</w:t>
      </w:r>
      <w:r w:rsidR="000A031B" w:rsidRPr="0028460D">
        <w:t xml:space="preserve"> </w:t>
      </w:r>
      <w:r w:rsidR="001E015E">
        <w:t xml:space="preserve">RAC and SEAC </w:t>
      </w:r>
      <w:r w:rsidR="000A031B" w:rsidRPr="0028460D">
        <w:t>opinions</w:t>
      </w:r>
      <w:r w:rsidR="000A031B" w:rsidRPr="00633CD6">
        <w:t>,</w:t>
      </w:r>
      <w:r w:rsidRPr="00DD2454">
        <w:t xml:space="preserve"> </w:t>
      </w:r>
      <w:r w:rsidR="000A031B" w:rsidRPr="00633CD6">
        <w:t xml:space="preserve">the Commission </w:t>
      </w:r>
      <w:r>
        <w:t>considers</w:t>
      </w:r>
      <w:r w:rsidR="000A031B" w:rsidRPr="00633CD6">
        <w:t xml:space="preserve"> that </w:t>
      </w:r>
      <w:r w:rsidR="001E015E">
        <w:t xml:space="preserve">there is an unacceptable risk to human health arising from </w:t>
      </w:r>
      <w:r w:rsidR="006F7F0D">
        <w:t xml:space="preserve">certain </w:t>
      </w:r>
      <w:r w:rsidR="009C12A0" w:rsidRPr="00633CD6">
        <w:t xml:space="preserve">substances </w:t>
      </w:r>
      <w:r w:rsidR="001E015E">
        <w:t xml:space="preserve">in </w:t>
      </w:r>
      <w:r w:rsidR="004369AD">
        <w:t>m</w:t>
      </w:r>
      <w:r w:rsidR="008F7FD7">
        <w:t>ixtures</w:t>
      </w:r>
      <w:r w:rsidR="007D63D7">
        <w:t xml:space="preserve"> </w:t>
      </w:r>
      <w:r w:rsidR="00F10AEE">
        <w:t xml:space="preserve">for use </w:t>
      </w:r>
      <w:r w:rsidR="008F7FD7">
        <w:t>for tattooing purposes</w:t>
      </w:r>
      <w:r w:rsidR="004369AD">
        <w:t xml:space="preserve"> </w:t>
      </w:r>
      <w:r w:rsidR="001E015E">
        <w:t xml:space="preserve">above </w:t>
      </w:r>
      <w:r w:rsidR="005410BD">
        <w:t>specific</w:t>
      </w:r>
      <w:r w:rsidR="00A00117">
        <w:t xml:space="preserve"> </w:t>
      </w:r>
      <w:r w:rsidR="000A031B" w:rsidRPr="00633CD6">
        <w:t>concentration</w:t>
      </w:r>
      <w:r w:rsidR="00633CD6" w:rsidRPr="00633CD6">
        <w:t xml:space="preserve"> </w:t>
      </w:r>
      <w:r w:rsidR="001E015E">
        <w:t>limits</w:t>
      </w:r>
      <w:r w:rsidR="009C12A0" w:rsidRPr="000E77A2">
        <w:t>.</w:t>
      </w:r>
      <w:r w:rsidR="009C12A0">
        <w:t xml:space="preserve"> </w:t>
      </w:r>
      <w:r w:rsidR="000A031B" w:rsidRPr="00633CD6">
        <w:t xml:space="preserve">The Commission </w:t>
      </w:r>
      <w:r w:rsidR="001E015E">
        <w:t xml:space="preserve">also </w:t>
      </w:r>
      <w:r w:rsidR="000A031B" w:rsidRPr="00633CD6">
        <w:t xml:space="preserve">considers that the risk needs to be </w:t>
      </w:r>
      <w:r w:rsidR="000A031B" w:rsidRPr="00EC5E39">
        <w:t>addressed on a Union-wide basis.</w:t>
      </w:r>
    </w:p>
    <w:p w14:paraId="02470ED2" w14:textId="3DD32AD9" w:rsidR="004E44DC" w:rsidRPr="00EC5E39" w:rsidRDefault="00086EF6" w:rsidP="004E44DC">
      <w:pPr>
        <w:pStyle w:val="Considrant"/>
      </w:pPr>
      <w:r w:rsidRPr="00EC5E39">
        <w:t>The Commission agrees with RAC and SEAC that</w:t>
      </w:r>
      <w:r w:rsidR="003B0D42" w:rsidRPr="00EC5E39">
        <w:t>,</w:t>
      </w:r>
      <w:r w:rsidRPr="00EC5E39">
        <w:t xml:space="preserve"> </w:t>
      </w:r>
      <w:r w:rsidR="003B0D42" w:rsidRPr="00EC5E39">
        <w:t xml:space="preserve">above a certain </w:t>
      </w:r>
      <w:r w:rsidR="003E1015">
        <w:t xml:space="preserve">practical </w:t>
      </w:r>
      <w:r w:rsidR="003B0D42" w:rsidRPr="00EC5E39">
        <w:t xml:space="preserve">concentration threshold, </w:t>
      </w:r>
      <w:r w:rsidRPr="00EC5E39">
        <w:t>a wide range of hazardous substances identified for the purpose</w:t>
      </w:r>
      <w:r w:rsidR="00964BDD">
        <w:t>s</w:t>
      </w:r>
      <w:r w:rsidRPr="00EC5E39">
        <w:t xml:space="preserve"> of Regulation (EC) No 1272/2008, Regulation (EC) No 1223/2009 and Council of</w:t>
      </w:r>
      <w:r>
        <w:t xml:space="preserve"> Europe r</w:t>
      </w:r>
      <w:r w:rsidRPr="006C77CA">
        <w:t>esolution ResAP</w:t>
      </w:r>
      <w:r>
        <w:t xml:space="preserve"> </w:t>
      </w:r>
      <w:r w:rsidRPr="006C77CA">
        <w:t>(2008)</w:t>
      </w:r>
      <w:r>
        <w:t xml:space="preserve">1 </w:t>
      </w:r>
      <w:r w:rsidR="009C12A0">
        <w:t xml:space="preserve">should not be used in tattooing procedures. </w:t>
      </w:r>
      <w:r w:rsidR="004E44DC">
        <w:t xml:space="preserve">Moreover, the restriction should </w:t>
      </w:r>
      <w:r w:rsidR="00006E98">
        <w:t xml:space="preserve">also </w:t>
      </w:r>
      <w:r w:rsidR="004E44DC">
        <w:t>ban the placing on the market of mixtures</w:t>
      </w:r>
      <w:r w:rsidR="00EC5E39">
        <w:t xml:space="preserve"> </w:t>
      </w:r>
      <w:r w:rsidR="008F7FD7">
        <w:t xml:space="preserve">for </w:t>
      </w:r>
      <w:r w:rsidR="006F7F0D">
        <w:t xml:space="preserve">use for </w:t>
      </w:r>
      <w:r w:rsidR="008F7FD7">
        <w:t>tattooing purposes</w:t>
      </w:r>
      <w:r w:rsidR="004369AD">
        <w:t xml:space="preserve"> </w:t>
      </w:r>
      <w:r w:rsidR="006F7F0D">
        <w:t xml:space="preserve">if they contain any such </w:t>
      </w:r>
      <w:r w:rsidR="004E44DC">
        <w:t>substance</w:t>
      </w:r>
      <w:r w:rsidR="00964BDD">
        <w:t xml:space="preserve"> above </w:t>
      </w:r>
      <w:r w:rsidR="00CA0914">
        <w:t xml:space="preserve">the specified </w:t>
      </w:r>
      <w:r w:rsidR="003E1015">
        <w:t xml:space="preserve">practical </w:t>
      </w:r>
      <w:r w:rsidR="00964BDD">
        <w:t>concentration threshold</w:t>
      </w:r>
      <w:r w:rsidR="004E44DC">
        <w:t xml:space="preserve">. </w:t>
      </w:r>
      <w:r w:rsidR="006F7F0D">
        <w:t>By way of an ancillary requirement, s</w:t>
      </w:r>
      <w:r w:rsidR="004E44DC" w:rsidRPr="005B49B8">
        <w:t xml:space="preserve">uppliers </w:t>
      </w:r>
      <w:r w:rsidR="00CA0914">
        <w:t xml:space="preserve">placing </w:t>
      </w:r>
      <w:r w:rsidR="00442AE4">
        <w:t xml:space="preserve">mixtures </w:t>
      </w:r>
      <w:r w:rsidR="00CA0914">
        <w:t xml:space="preserve">on </w:t>
      </w:r>
      <w:r w:rsidR="006F7F0D">
        <w:t xml:space="preserve">the market </w:t>
      </w:r>
      <w:r w:rsidR="00442AE4">
        <w:t>for</w:t>
      </w:r>
      <w:r w:rsidR="006F7F0D">
        <w:t xml:space="preserve"> use for</w:t>
      </w:r>
      <w:r w:rsidR="00442AE4">
        <w:t xml:space="preserve"> tattooing purposes</w:t>
      </w:r>
      <w:r w:rsidR="004E44DC" w:rsidRPr="005B49B8">
        <w:t xml:space="preserve">, </w:t>
      </w:r>
      <w:r w:rsidR="006F7F0D">
        <w:t xml:space="preserve">within the parameters </w:t>
      </w:r>
      <w:r w:rsidR="004E44DC" w:rsidRPr="005B49B8">
        <w:t>permitted</w:t>
      </w:r>
      <w:r w:rsidR="006F7F0D">
        <w:t xml:space="preserve"> by the restriction</w:t>
      </w:r>
      <w:r w:rsidR="004E44DC" w:rsidRPr="005B49B8">
        <w:t xml:space="preserve">, should </w:t>
      </w:r>
      <w:r w:rsidR="00964BDD">
        <w:t xml:space="preserve">be required </w:t>
      </w:r>
      <w:r w:rsidR="0088465C">
        <w:t xml:space="preserve">to </w:t>
      </w:r>
      <w:r w:rsidR="004E44DC" w:rsidRPr="005B49B8">
        <w:t xml:space="preserve">provide sufficient </w:t>
      </w:r>
      <w:r w:rsidR="004E44DC" w:rsidRPr="00A75019">
        <w:t>information to</w:t>
      </w:r>
      <w:r w:rsidR="004E44DC" w:rsidRPr="005B49B8">
        <w:t xml:space="preserve"> </w:t>
      </w:r>
      <w:r w:rsidR="00964BDD">
        <w:t xml:space="preserve">encourage </w:t>
      </w:r>
      <w:r w:rsidR="004E44DC" w:rsidRPr="005B49B8">
        <w:t xml:space="preserve">safe use of </w:t>
      </w:r>
      <w:r w:rsidR="00964BDD">
        <w:t xml:space="preserve">their </w:t>
      </w:r>
      <w:r w:rsidR="004E44DC" w:rsidRPr="005B49B8">
        <w:t xml:space="preserve">mixtures. </w:t>
      </w:r>
    </w:p>
    <w:p w14:paraId="7B103C24" w14:textId="60609E06" w:rsidR="00E33A83" w:rsidRPr="00B04195" w:rsidRDefault="00CF1A48" w:rsidP="00307A9D">
      <w:pPr>
        <w:pStyle w:val="Considrant"/>
      </w:pPr>
      <w:r w:rsidRPr="00B04195">
        <w:t xml:space="preserve">The Commission agrees with RAC and SEAC that the restriction should not apply to carcinogenic and mutagenic substances with harmonised classification </w:t>
      </w:r>
      <w:r w:rsidR="00307A9D" w:rsidRPr="00B04195">
        <w:t>due to effects following exposure by inhalation</w:t>
      </w:r>
      <w:r w:rsidR="00C15CE2" w:rsidRPr="00B04195">
        <w:t xml:space="preserve"> only</w:t>
      </w:r>
      <w:r w:rsidR="000059F3" w:rsidRPr="00B04195">
        <w:t xml:space="preserve">. </w:t>
      </w:r>
      <w:r w:rsidR="00E33A83" w:rsidRPr="00B04195">
        <w:t xml:space="preserve">The same analysis applies </w:t>
      </w:r>
      <w:r w:rsidR="00AE47FB" w:rsidRPr="00B04195">
        <w:t>to repro</w:t>
      </w:r>
      <w:r w:rsidR="006212C5" w:rsidRPr="00B04195">
        <w:t>ductive toxicants</w:t>
      </w:r>
      <w:r w:rsidR="000059F3" w:rsidRPr="00B04195">
        <w:t xml:space="preserve"> </w:t>
      </w:r>
      <w:r w:rsidR="00E33A83" w:rsidRPr="00B04195">
        <w:t xml:space="preserve">even though </w:t>
      </w:r>
      <w:r w:rsidR="000059F3" w:rsidRPr="00B04195">
        <w:t>no repro</w:t>
      </w:r>
      <w:r w:rsidR="0075599F" w:rsidRPr="00B04195">
        <w:t xml:space="preserve">ductive </w:t>
      </w:r>
      <w:r w:rsidR="000059F3" w:rsidRPr="00B04195">
        <w:t>toxic</w:t>
      </w:r>
      <w:r w:rsidR="005B49B8" w:rsidRPr="00B04195">
        <w:t>ant</w:t>
      </w:r>
      <w:r w:rsidR="000059F3" w:rsidRPr="00B04195">
        <w:t xml:space="preserve"> </w:t>
      </w:r>
      <w:r w:rsidR="00E33A83" w:rsidRPr="00B04195">
        <w:t xml:space="preserve">is currently </w:t>
      </w:r>
      <w:r w:rsidR="000059F3" w:rsidRPr="00B04195">
        <w:t xml:space="preserve">classified </w:t>
      </w:r>
      <w:r w:rsidR="005B49B8" w:rsidRPr="00B04195">
        <w:t>due to</w:t>
      </w:r>
      <w:r w:rsidR="000059F3" w:rsidRPr="00B04195">
        <w:t xml:space="preserve"> inhalation </w:t>
      </w:r>
      <w:r w:rsidR="005B49B8" w:rsidRPr="00B04195">
        <w:t>exposure</w:t>
      </w:r>
      <w:r w:rsidR="00E33A83" w:rsidRPr="00B04195">
        <w:t xml:space="preserve"> only</w:t>
      </w:r>
      <w:r w:rsidR="00510E40" w:rsidRPr="00B04195">
        <w:t>.</w:t>
      </w:r>
      <w:r w:rsidR="00AE47FB" w:rsidRPr="00B04195">
        <w:t xml:space="preserve"> </w:t>
      </w:r>
      <w:r w:rsidR="00E33A83" w:rsidRPr="00B04195">
        <w:t>Therefore, repro</w:t>
      </w:r>
      <w:r w:rsidR="0075599F" w:rsidRPr="00B04195">
        <w:t>ductive toxicants</w:t>
      </w:r>
      <w:r w:rsidR="00E33A83" w:rsidRPr="00B04195">
        <w:t xml:space="preserve"> with harmonised classification </w:t>
      </w:r>
      <w:r w:rsidR="00515641" w:rsidRPr="00B04195">
        <w:t>d</w:t>
      </w:r>
      <w:r w:rsidR="003979D6" w:rsidRPr="00B04195">
        <w:t>ue to effects following exposure by inhalation</w:t>
      </w:r>
      <w:r w:rsidR="007549E4" w:rsidRPr="00B04195">
        <w:t xml:space="preserve"> only</w:t>
      </w:r>
      <w:r w:rsidR="002D48C6" w:rsidRPr="00B04195">
        <w:t xml:space="preserve"> </w:t>
      </w:r>
      <w:r w:rsidR="00E33A83" w:rsidRPr="00B04195">
        <w:t xml:space="preserve">should also be excluded from the scope of the restriction. </w:t>
      </w:r>
    </w:p>
    <w:p w14:paraId="38E03794" w14:textId="2B071C79" w:rsidR="0078016B" w:rsidRDefault="00CF1A48" w:rsidP="00AE47FB">
      <w:pPr>
        <w:pStyle w:val="Considrant"/>
      </w:pPr>
      <w:r>
        <w:t xml:space="preserve">The Commission agrees with RAC and SEAC that the restriction should not apply </w:t>
      </w:r>
      <w:r w:rsidRPr="00616985">
        <w:t>to gaseous substances</w:t>
      </w:r>
      <w:r w:rsidR="000A649B">
        <w:t xml:space="preserve"> other than formaldehyde</w:t>
      </w:r>
      <w:r w:rsidRPr="00616985">
        <w:t xml:space="preserve"> </w:t>
      </w:r>
      <w:r>
        <w:t>as</w:t>
      </w:r>
      <w:r w:rsidRPr="00616985">
        <w:t xml:space="preserve"> </w:t>
      </w:r>
      <w:r w:rsidR="00377DC4">
        <w:t>they</w:t>
      </w:r>
      <w:r>
        <w:t xml:space="preserve"> </w:t>
      </w:r>
      <w:r w:rsidRPr="00616985">
        <w:t xml:space="preserve">are not expected to be present </w:t>
      </w:r>
      <w:r w:rsidR="000059F3">
        <w:t xml:space="preserve">in </w:t>
      </w:r>
      <w:r w:rsidR="00E33A83">
        <w:t xml:space="preserve">that </w:t>
      </w:r>
      <w:r w:rsidR="00AE450F">
        <w:t>state</w:t>
      </w:r>
      <w:r w:rsidR="000059F3">
        <w:t xml:space="preserve"> </w:t>
      </w:r>
      <w:r w:rsidRPr="00616985">
        <w:t xml:space="preserve">in </w:t>
      </w:r>
      <w:r w:rsidR="00E33A83">
        <w:t>mixtures used for tattooing purposes</w:t>
      </w:r>
      <w:r>
        <w:t xml:space="preserve">. </w:t>
      </w:r>
    </w:p>
    <w:p w14:paraId="0CC0F4F9" w14:textId="6997F3CC" w:rsidR="003E7A54" w:rsidRPr="00F56C40" w:rsidRDefault="001E015E" w:rsidP="003E7A54">
      <w:pPr>
        <w:pStyle w:val="Considrant"/>
        <w:rPr>
          <w:rFonts w:eastAsia="Calibri"/>
          <w:szCs w:val="24"/>
        </w:rPr>
      </w:pPr>
      <w:r>
        <w:t xml:space="preserve">The restriction should cover </w:t>
      </w:r>
      <w:r w:rsidR="00CA7492">
        <w:t xml:space="preserve">not just </w:t>
      </w:r>
      <w:r>
        <w:t>s</w:t>
      </w:r>
      <w:r w:rsidR="00E46981" w:rsidRPr="00E46981">
        <w:t>ubstances</w:t>
      </w:r>
      <w:r w:rsidR="00066C19">
        <w:t xml:space="preserve"> </w:t>
      </w:r>
      <w:r w:rsidR="005D5717">
        <w:t xml:space="preserve">currently </w:t>
      </w:r>
      <w:r w:rsidR="00483118">
        <w:t xml:space="preserve">classified in </w:t>
      </w:r>
      <w:r w:rsidR="002E3EB9">
        <w:t xml:space="preserve">the relevant hazard categories in </w:t>
      </w:r>
      <w:r w:rsidR="005438FB">
        <w:t>Part 3 of</w:t>
      </w:r>
      <w:r w:rsidR="00066C19" w:rsidRPr="00925C25">
        <w:t xml:space="preserve"> Annex VI to Regulation</w:t>
      </w:r>
      <w:r w:rsidR="00377DC4">
        <w:t> </w:t>
      </w:r>
      <w:r w:rsidR="00066C19" w:rsidRPr="00925C25">
        <w:t>(EC)</w:t>
      </w:r>
      <w:r w:rsidR="00377DC4">
        <w:t> </w:t>
      </w:r>
      <w:r w:rsidR="00066C19" w:rsidRPr="00925C25">
        <w:t>No</w:t>
      </w:r>
      <w:r w:rsidR="00377DC4">
        <w:t> </w:t>
      </w:r>
      <w:r w:rsidR="00066C19" w:rsidRPr="00925C25">
        <w:t>1272/2008</w:t>
      </w:r>
      <w:r>
        <w:t xml:space="preserve"> </w:t>
      </w:r>
      <w:r w:rsidR="00483118">
        <w:t xml:space="preserve">but also substances classified </w:t>
      </w:r>
      <w:r w:rsidR="00A134D2">
        <w:t xml:space="preserve">in </w:t>
      </w:r>
      <w:r w:rsidR="002E3EB9">
        <w:t xml:space="preserve">those </w:t>
      </w:r>
      <w:r w:rsidR="00A134D2">
        <w:t xml:space="preserve">hazard categories </w:t>
      </w:r>
      <w:r w:rsidR="005D5717">
        <w:t xml:space="preserve">at any point </w:t>
      </w:r>
      <w:r w:rsidR="00483118">
        <w:t>in the future</w:t>
      </w:r>
      <w:r w:rsidR="00A134D2">
        <w:t>,</w:t>
      </w:r>
      <w:r w:rsidR="00483118">
        <w:t xml:space="preserve"> </w:t>
      </w:r>
      <w:r w:rsidR="005D5717">
        <w:t xml:space="preserve">following </w:t>
      </w:r>
      <w:r w:rsidR="00483118">
        <w:t xml:space="preserve">an amendment </w:t>
      </w:r>
      <w:r w:rsidR="005D5717">
        <w:t xml:space="preserve">to that Part </w:t>
      </w:r>
      <w:r>
        <w:t>adding or changing the classification of a substance</w:t>
      </w:r>
      <w:r w:rsidR="003F3C47">
        <w:t xml:space="preserve">. </w:t>
      </w:r>
      <w:r w:rsidR="00483118">
        <w:t>C</w:t>
      </w:r>
      <w:r w:rsidR="003E7A54">
        <w:t xml:space="preserve">lassification </w:t>
      </w:r>
      <w:r w:rsidR="00483118">
        <w:t xml:space="preserve">under </w:t>
      </w:r>
      <w:r w:rsidR="003E7A54" w:rsidRPr="003E7A54">
        <w:t>Regulation (EC) No 1272/2008</w:t>
      </w:r>
      <w:r w:rsidR="003E7A54">
        <w:t xml:space="preserve"> </w:t>
      </w:r>
      <w:r w:rsidR="00483118">
        <w:t xml:space="preserve">is based on </w:t>
      </w:r>
      <w:r w:rsidR="003E7A54">
        <w:t xml:space="preserve">a </w:t>
      </w:r>
      <w:r w:rsidR="00483118">
        <w:t xml:space="preserve">careful </w:t>
      </w:r>
      <w:r w:rsidR="003E7A54">
        <w:t xml:space="preserve">assessment of the hazard properties of substances. The way </w:t>
      </w:r>
      <w:r w:rsidR="00483118">
        <w:t xml:space="preserve">that </w:t>
      </w:r>
      <w:r w:rsidR="004369AD">
        <w:t>m</w:t>
      </w:r>
      <w:r w:rsidR="008F7FD7">
        <w:t xml:space="preserve">ixtures </w:t>
      </w:r>
      <w:r w:rsidR="00483118">
        <w:t xml:space="preserve">are </w:t>
      </w:r>
      <w:r w:rsidR="005D5717">
        <w:t xml:space="preserve">administered </w:t>
      </w:r>
      <w:r w:rsidR="008F7FD7">
        <w:t>for tattooing purposes</w:t>
      </w:r>
      <w:r w:rsidR="003E7A54">
        <w:t xml:space="preserve"> i.e. by introducing them into a part of the body also </w:t>
      </w:r>
      <w:r w:rsidR="003E7A54" w:rsidRPr="00E078D8">
        <w:t>gives sufficient indications about</w:t>
      </w:r>
      <w:r w:rsidR="00483118" w:rsidRPr="00E078D8">
        <w:t xml:space="preserve"> </w:t>
      </w:r>
      <w:r w:rsidR="003E7A54">
        <w:t>the potential exposure to t</w:t>
      </w:r>
      <w:r w:rsidR="00D43E5F">
        <w:t>he</w:t>
      </w:r>
      <w:r w:rsidR="003E7A54">
        <w:t xml:space="preserve">se substances. In summary, both </w:t>
      </w:r>
      <w:r w:rsidR="005D5717">
        <w:t xml:space="preserve">the </w:t>
      </w:r>
      <w:r w:rsidR="003E7A54">
        <w:t>potential hazard</w:t>
      </w:r>
      <w:r w:rsidR="005D5717">
        <w:t>(s)</w:t>
      </w:r>
      <w:r w:rsidR="00A86BCA">
        <w:t xml:space="preserve"> </w:t>
      </w:r>
      <w:r w:rsidR="00A86BCA" w:rsidRPr="00D4473C">
        <w:t>of the substances</w:t>
      </w:r>
      <w:r w:rsidR="003E7A54">
        <w:t xml:space="preserve"> and </w:t>
      </w:r>
      <w:r w:rsidR="00D43E5F">
        <w:t xml:space="preserve">the way </w:t>
      </w:r>
      <w:r w:rsidR="00483118">
        <w:t xml:space="preserve">people are exposed </w:t>
      </w:r>
      <w:r w:rsidR="00D43E5F">
        <w:t xml:space="preserve">to them </w:t>
      </w:r>
      <w:r w:rsidR="00483118">
        <w:t xml:space="preserve">leads to </w:t>
      </w:r>
      <w:r w:rsidR="00D43E5F">
        <w:t>the</w:t>
      </w:r>
      <w:r w:rsidR="003E7A54">
        <w:t xml:space="preserve"> conclusion </w:t>
      </w:r>
      <w:r w:rsidR="00D43E5F">
        <w:t xml:space="preserve">that these substances </w:t>
      </w:r>
      <w:r w:rsidR="005D5717">
        <w:t xml:space="preserve">present </w:t>
      </w:r>
      <w:r w:rsidR="00D43E5F">
        <w:t>a general</w:t>
      </w:r>
      <w:r w:rsidR="003E7A54">
        <w:t xml:space="preserve"> level of risk to human health </w:t>
      </w:r>
      <w:r w:rsidR="00D43E5F">
        <w:t xml:space="preserve">that is unacceptable and needs </w:t>
      </w:r>
      <w:r w:rsidR="003E7A54">
        <w:t xml:space="preserve">to be addressed by this restriction in accordance with </w:t>
      </w:r>
      <w:r w:rsidR="00D43E5F">
        <w:t>the requirements set out in Title VIII</w:t>
      </w:r>
      <w:r w:rsidR="003E7A54">
        <w:t xml:space="preserve"> of </w:t>
      </w:r>
      <w:r w:rsidR="003E7A54" w:rsidRPr="00F236E2">
        <w:t>Regulation (EC) No 1907/2006</w:t>
      </w:r>
      <w:r w:rsidR="003E7A54">
        <w:t xml:space="preserve">. </w:t>
      </w:r>
    </w:p>
    <w:p w14:paraId="61829D84" w14:textId="14EA7D5F" w:rsidR="00007A9E" w:rsidRPr="000B3CC1" w:rsidRDefault="003E7A54" w:rsidP="00A00117">
      <w:pPr>
        <w:pStyle w:val="Considrant"/>
        <w:rPr>
          <w:rFonts w:eastAsia="Calibri"/>
          <w:szCs w:val="24"/>
        </w:rPr>
      </w:pPr>
      <w:r>
        <w:t>For any substance that subsequently comes within the terms of the restriction</w:t>
      </w:r>
      <w:r w:rsidR="005D5717">
        <w:t xml:space="preserve"> as a result of a subsequent amendment to Part 3 of Annex VI to Regulation (EC) No 1272/2008</w:t>
      </w:r>
      <w:r>
        <w:t xml:space="preserve">, the restriction </w:t>
      </w:r>
      <w:r w:rsidR="005D5717">
        <w:t xml:space="preserve">should begin to </w:t>
      </w:r>
      <w:r>
        <w:t xml:space="preserve">apply </w:t>
      </w:r>
      <w:r w:rsidR="00A134D2">
        <w:t xml:space="preserve">to that substance </w:t>
      </w:r>
      <w:r>
        <w:t xml:space="preserve">when the classification in </w:t>
      </w:r>
      <w:r w:rsidR="005D5717">
        <w:t xml:space="preserve">that </w:t>
      </w:r>
      <w:r w:rsidRPr="003E7A54">
        <w:t>Part</w:t>
      </w:r>
      <w:r w:rsidR="00B91FE2">
        <w:t xml:space="preserve"> </w:t>
      </w:r>
      <w:r w:rsidR="00A134D2">
        <w:t>begins to apply</w:t>
      </w:r>
      <w:r>
        <w:t>. This is usually 18 months after the substance has been included in Annex VI</w:t>
      </w:r>
      <w:r w:rsidRPr="003E7A54">
        <w:t xml:space="preserve"> to </w:t>
      </w:r>
      <w:r w:rsidR="005D5717">
        <w:t xml:space="preserve">that </w:t>
      </w:r>
      <w:r w:rsidRPr="003E7A54">
        <w:t>Regulation</w:t>
      </w:r>
      <w:r>
        <w:t xml:space="preserve">. </w:t>
      </w:r>
      <w:r w:rsidR="00A00117">
        <w:rPr>
          <w:i/>
        </w:rPr>
        <w:t xml:space="preserve"> </w:t>
      </w:r>
      <w:r>
        <w:t xml:space="preserve">The </w:t>
      </w:r>
      <w:r w:rsidR="005D5717">
        <w:t xml:space="preserve">18-month </w:t>
      </w:r>
      <w:r>
        <w:t xml:space="preserve">period </w:t>
      </w:r>
      <w:r w:rsidR="005D5717">
        <w:t xml:space="preserve">will provide sufficient </w:t>
      </w:r>
      <w:r>
        <w:t xml:space="preserve">time </w:t>
      </w:r>
      <w:r w:rsidR="005D5717">
        <w:t xml:space="preserve">for </w:t>
      </w:r>
      <w:r w:rsidR="00C11FB8">
        <w:t xml:space="preserve">formulators </w:t>
      </w:r>
      <w:r>
        <w:t xml:space="preserve">to </w:t>
      </w:r>
      <w:r w:rsidR="00EA44D1">
        <w:t xml:space="preserve">find safer </w:t>
      </w:r>
      <w:r w:rsidR="00EA44D1" w:rsidRPr="000B3CC1">
        <w:t>alternatives</w:t>
      </w:r>
      <w:r w:rsidRPr="000B3CC1">
        <w:t xml:space="preserve">, in particular in </w:t>
      </w:r>
      <w:r w:rsidR="00EA44D1" w:rsidRPr="000B3CC1">
        <w:t xml:space="preserve">those </w:t>
      </w:r>
      <w:r w:rsidRPr="000B3CC1">
        <w:t xml:space="preserve">cases that might </w:t>
      </w:r>
      <w:r w:rsidR="00C11FB8" w:rsidRPr="000B3CC1">
        <w:t xml:space="preserve">otherwise </w:t>
      </w:r>
      <w:r w:rsidRPr="000B3CC1">
        <w:t xml:space="preserve">lead to regrettable substitution. </w:t>
      </w:r>
      <w:r w:rsidR="002E7574" w:rsidRPr="000B3CC1">
        <w:t>I</w:t>
      </w:r>
      <w:r w:rsidR="00215D85" w:rsidRPr="000B3CC1">
        <w:t xml:space="preserve">t </w:t>
      </w:r>
      <w:r w:rsidR="00A00117" w:rsidRPr="000B3CC1">
        <w:t>is not necessary to address the availability of alternatives for substances classified in the future</w:t>
      </w:r>
      <w:r w:rsidR="00215D85" w:rsidRPr="000B3CC1">
        <w:t xml:space="preserve">, as the </w:t>
      </w:r>
      <w:r w:rsidR="00A00117" w:rsidRPr="000B3CC1">
        <w:t>need to ensure a high level of protection of human health take</w:t>
      </w:r>
      <w:r w:rsidR="00647685" w:rsidRPr="000B3CC1">
        <w:t>s</w:t>
      </w:r>
      <w:r w:rsidR="00A00117" w:rsidRPr="000B3CC1">
        <w:t xml:space="preserve"> precedence over </w:t>
      </w:r>
      <w:r w:rsidR="00075F84" w:rsidRPr="000B3CC1">
        <w:t xml:space="preserve">considerations related to </w:t>
      </w:r>
      <w:r w:rsidR="00A00117" w:rsidRPr="000B3CC1">
        <w:t>technical and economic feasibility of alternatives</w:t>
      </w:r>
      <w:r w:rsidR="00647685" w:rsidRPr="000B3CC1">
        <w:t xml:space="preserve"> </w:t>
      </w:r>
      <w:r w:rsidR="002E7574" w:rsidRPr="000B3CC1">
        <w:t>as regards</w:t>
      </w:r>
      <w:r w:rsidR="00647685" w:rsidRPr="000B3CC1">
        <w:t xml:space="preserve"> substances used in tattoo inks</w:t>
      </w:r>
      <w:r w:rsidR="00A00117" w:rsidRPr="000B3CC1">
        <w:t>.</w:t>
      </w:r>
      <w:r w:rsidR="00215D85" w:rsidRPr="000B3CC1" w:rsidDel="00215D85">
        <w:rPr>
          <w:i/>
        </w:rPr>
        <w:t xml:space="preserve"> </w:t>
      </w:r>
    </w:p>
    <w:p w14:paraId="6AE1BF78" w14:textId="759B4111" w:rsidR="00CC1D49" w:rsidRPr="000B3CC1" w:rsidRDefault="00270F3F" w:rsidP="00215D85">
      <w:pPr>
        <w:pStyle w:val="Considrant"/>
      </w:pPr>
      <w:r>
        <w:t>S</w:t>
      </w:r>
      <w:r w:rsidR="00616985">
        <w:t xml:space="preserve">imilarly, </w:t>
      </w:r>
      <w:r w:rsidR="001E015E">
        <w:t xml:space="preserve">the restriction should cover </w:t>
      </w:r>
      <w:r w:rsidR="001D57C7">
        <w:t xml:space="preserve">not only </w:t>
      </w:r>
      <w:r w:rsidR="001E015E">
        <w:t xml:space="preserve">substances </w:t>
      </w:r>
      <w:r w:rsidR="001D57C7">
        <w:t xml:space="preserve">currently listed </w:t>
      </w:r>
      <w:r w:rsidR="00A134D2">
        <w:t xml:space="preserve">with the relevant conditions </w:t>
      </w:r>
      <w:r w:rsidR="001D57C7">
        <w:t xml:space="preserve">in </w:t>
      </w:r>
      <w:r w:rsidR="00D16D29" w:rsidRPr="00D16D29">
        <w:t>Annex</w:t>
      </w:r>
      <w:r>
        <w:t xml:space="preserve"> II or Annex IV</w:t>
      </w:r>
      <w:r w:rsidR="00066C19">
        <w:t xml:space="preserve"> </w:t>
      </w:r>
      <w:r w:rsidR="00050BC5">
        <w:t xml:space="preserve">to </w:t>
      </w:r>
      <w:r w:rsidR="00D40232" w:rsidRPr="005E205D">
        <w:t>Regulation (EC) No 1223/2009</w:t>
      </w:r>
      <w:r w:rsidR="001E015E">
        <w:t xml:space="preserve"> </w:t>
      </w:r>
      <w:r w:rsidR="001D57C7">
        <w:t xml:space="preserve">but also substances listed </w:t>
      </w:r>
      <w:r w:rsidR="00A134D2">
        <w:t xml:space="preserve">with any of those conditions </w:t>
      </w:r>
      <w:r w:rsidR="001D57C7">
        <w:t>at any point in the future</w:t>
      </w:r>
      <w:r w:rsidR="00A134D2">
        <w:t xml:space="preserve">, following </w:t>
      </w:r>
      <w:r w:rsidR="001D57C7">
        <w:t xml:space="preserve">an amendment to those Annexes </w:t>
      </w:r>
      <w:r w:rsidR="001E015E">
        <w:t xml:space="preserve">listing or changing the listing of a substance. </w:t>
      </w:r>
      <w:r w:rsidR="00A134D2">
        <w:t xml:space="preserve">If the </w:t>
      </w:r>
      <w:r w:rsidR="00EA44D1">
        <w:t xml:space="preserve">substance </w:t>
      </w:r>
      <w:r w:rsidR="00A134D2">
        <w:t xml:space="preserve">raises sufficient safety concerns to be </w:t>
      </w:r>
      <w:r w:rsidR="00EA44D1">
        <w:t xml:space="preserve">restricted </w:t>
      </w:r>
      <w:r w:rsidR="002E3EB9">
        <w:t xml:space="preserve">in </w:t>
      </w:r>
      <w:r w:rsidR="00D43E5F">
        <w:t>cosmetic products</w:t>
      </w:r>
      <w:r w:rsidR="00EA44D1">
        <w:t xml:space="preserve"> applied on the skin, </w:t>
      </w:r>
      <w:r w:rsidR="00A134D2">
        <w:t xml:space="preserve">it </w:t>
      </w:r>
      <w:r w:rsidR="002E3EB9">
        <w:t xml:space="preserve">must raise at least the same safety concerns when present in </w:t>
      </w:r>
      <w:r w:rsidR="00442AE4">
        <w:t xml:space="preserve">mixtures </w:t>
      </w:r>
      <w:r w:rsidR="002E3EB9" w:rsidRPr="000B3CC1">
        <w:t xml:space="preserve">administered </w:t>
      </w:r>
      <w:r w:rsidR="00442AE4" w:rsidRPr="000B3CC1">
        <w:t>for tattooing purposes</w:t>
      </w:r>
      <w:r w:rsidR="00EA44D1" w:rsidRPr="000B3CC1">
        <w:t xml:space="preserve">, which are introduced </w:t>
      </w:r>
      <w:r w:rsidR="003E1015">
        <w:t xml:space="preserve">through the skin </w:t>
      </w:r>
      <w:r w:rsidR="00EA44D1" w:rsidRPr="000B3CC1">
        <w:t>into the human body.</w:t>
      </w:r>
      <w:r w:rsidR="00215D85" w:rsidRPr="000B3CC1">
        <w:t xml:space="preserve"> </w:t>
      </w:r>
      <w:r w:rsidR="002E7574" w:rsidRPr="000B3CC1">
        <w:t>I</w:t>
      </w:r>
      <w:r w:rsidR="00215D85" w:rsidRPr="000B3CC1">
        <w:t>t is not necessary to address the availability of alternatives for substances falling within the scope of the restriction in the future</w:t>
      </w:r>
      <w:r w:rsidR="006C2568" w:rsidRPr="000B3CC1">
        <w:t xml:space="preserve"> as the</w:t>
      </w:r>
      <w:r w:rsidR="00215D85" w:rsidRPr="000B3CC1">
        <w:t xml:space="preserve"> need </w:t>
      </w:r>
      <w:r w:rsidR="006C2568" w:rsidRPr="000B3CC1">
        <w:t>to</w:t>
      </w:r>
      <w:r w:rsidR="00215D85" w:rsidRPr="000B3CC1">
        <w:t xml:space="preserve"> </w:t>
      </w:r>
      <w:r w:rsidR="009E694D">
        <w:t>.</w:t>
      </w:r>
      <w:r w:rsidR="00215D85" w:rsidRPr="000B3CC1">
        <w:t>protect human health take</w:t>
      </w:r>
      <w:r w:rsidR="006C2568" w:rsidRPr="000B3CC1">
        <w:t>s</w:t>
      </w:r>
      <w:r w:rsidR="00215D85" w:rsidRPr="000B3CC1">
        <w:t xml:space="preserve"> precedence over</w:t>
      </w:r>
      <w:r w:rsidR="00075F84" w:rsidRPr="000B3CC1">
        <w:t xml:space="preserve"> considerations related to</w:t>
      </w:r>
      <w:r w:rsidR="00215D85" w:rsidRPr="000B3CC1">
        <w:t xml:space="preserve"> technical and economic </w:t>
      </w:r>
      <w:r w:rsidR="006C2568" w:rsidRPr="000B3CC1">
        <w:t>feasibility of alternatives</w:t>
      </w:r>
      <w:r w:rsidR="00215D85" w:rsidRPr="000B3CC1">
        <w:t xml:space="preserve">. </w:t>
      </w:r>
    </w:p>
    <w:p w14:paraId="717B5BB9" w14:textId="1B3C2B4A" w:rsidR="00D62AD6" w:rsidRPr="00CC1D49" w:rsidRDefault="004218BB" w:rsidP="00CC1D49">
      <w:pPr>
        <w:pStyle w:val="Considrant"/>
        <w:rPr>
          <w:rFonts w:eastAsia="Calibri"/>
          <w:szCs w:val="24"/>
        </w:rPr>
      </w:pPr>
      <w:r w:rsidRPr="00AE79A3">
        <w:t>Neverthel</w:t>
      </w:r>
      <w:r w:rsidR="00BA4A9F" w:rsidRPr="00AE79A3">
        <w:t>e</w:t>
      </w:r>
      <w:r w:rsidRPr="00AE79A3">
        <w:t>ss, a</w:t>
      </w:r>
      <w:r w:rsidR="001E015E" w:rsidRPr="00AE79A3">
        <w:t>s</w:t>
      </w:r>
      <w:r w:rsidR="001E015E">
        <w:t xml:space="preserve"> regards </w:t>
      </w:r>
      <w:r w:rsidR="00EA44D1">
        <w:t xml:space="preserve">those </w:t>
      </w:r>
      <w:r w:rsidR="001E015E">
        <w:t xml:space="preserve">substances that subsequently come within the terms of the restriction as a result of a future amendment to </w:t>
      </w:r>
      <w:r w:rsidR="001E015E" w:rsidRPr="005E205D">
        <w:t>Regulation (EC) No 1223/2009</w:t>
      </w:r>
      <w:r w:rsidR="00D16D29" w:rsidRPr="00D16D29">
        <w:t xml:space="preserve">, </w:t>
      </w:r>
      <w:r w:rsidR="001E015E">
        <w:t>an additional period of time should be allowed, after the relevant amendment takes effect</w:t>
      </w:r>
      <w:r w:rsidR="00785576">
        <w:t xml:space="preserve">, in order to </w:t>
      </w:r>
      <w:r w:rsidR="008A50A5">
        <w:t xml:space="preserve">give </w:t>
      </w:r>
      <w:r w:rsidR="00785576" w:rsidRPr="00C11FB8">
        <w:t xml:space="preserve">formulators time </w:t>
      </w:r>
      <w:r w:rsidR="00CC1D49" w:rsidRPr="00CC1D49">
        <w:t xml:space="preserve">to </w:t>
      </w:r>
      <w:r w:rsidR="008A50A5">
        <w:t xml:space="preserve">adapt </w:t>
      </w:r>
      <w:r w:rsidR="00CC1D49" w:rsidRPr="00CC1D49">
        <w:t xml:space="preserve">to the consequences of the </w:t>
      </w:r>
      <w:r w:rsidR="008A50A5">
        <w:t xml:space="preserve">substance coming within the terms of the restriction </w:t>
      </w:r>
      <w:r w:rsidR="002623B1">
        <w:t xml:space="preserve">or </w:t>
      </w:r>
      <w:r w:rsidR="008A50A5">
        <w:t xml:space="preserve">to find a safer alternative to it. This is because the assessment required before a substance </w:t>
      </w:r>
      <w:r w:rsidR="002623B1">
        <w:t xml:space="preserve">can be </w:t>
      </w:r>
      <w:r w:rsidR="008A50A5">
        <w:t xml:space="preserve">listed in Annex II or Annex IV to </w:t>
      </w:r>
      <w:r w:rsidR="00CC1D49" w:rsidRPr="00CC1D49">
        <w:t xml:space="preserve">Regulation (EC) No 1223/2009 </w:t>
      </w:r>
      <w:r w:rsidR="002623B1">
        <w:t xml:space="preserve">does </w:t>
      </w:r>
      <w:r w:rsidR="00CC1D49" w:rsidRPr="00CC1D49">
        <w:t>not allow for</w:t>
      </w:r>
      <w:r w:rsidR="00215D85">
        <w:t xml:space="preserve"> </w:t>
      </w:r>
      <w:r w:rsidR="00CC1D49" w:rsidRPr="00CC1D49">
        <w:t xml:space="preserve">specific scrutiny of </w:t>
      </w:r>
      <w:r w:rsidR="008A50A5">
        <w:t xml:space="preserve">the substance </w:t>
      </w:r>
      <w:r w:rsidR="00CC1D49" w:rsidRPr="00CC1D49">
        <w:t xml:space="preserve">as regards </w:t>
      </w:r>
      <w:r w:rsidR="008A50A5">
        <w:t xml:space="preserve">its effects </w:t>
      </w:r>
      <w:r w:rsidR="00CC1D49" w:rsidRPr="00CC1D49">
        <w:t xml:space="preserve">in </w:t>
      </w:r>
      <w:r w:rsidR="004369AD">
        <w:t>m</w:t>
      </w:r>
      <w:r w:rsidR="008F7FD7">
        <w:t xml:space="preserve">ixtures </w:t>
      </w:r>
      <w:r w:rsidR="008A50A5">
        <w:t xml:space="preserve">placed on the market for use </w:t>
      </w:r>
      <w:r w:rsidR="008F7FD7">
        <w:t>for tattooing purposes</w:t>
      </w:r>
      <w:r w:rsidR="00785576" w:rsidRPr="00CC1D49">
        <w:t>.</w:t>
      </w:r>
      <w:r w:rsidR="00CC1D49" w:rsidRPr="00CC1D49">
        <w:t xml:space="preserve"> </w:t>
      </w:r>
      <w:r w:rsidR="002623B1">
        <w:t>T</w:t>
      </w:r>
      <w:r w:rsidR="00CC1D49" w:rsidRPr="00CC1D49">
        <w:t xml:space="preserve">he </w:t>
      </w:r>
      <w:r w:rsidR="002623B1">
        <w:t xml:space="preserve">additional </w:t>
      </w:r>
      <w:r w:rsidR="00CC1D49" w:rsidRPr="00CC1D49">
        <w:t xml:space="preserve">period </w:t>
      </w:r>
      <w:r w:rsidR="002623B1">
        <w:t xml:space="preserve">of time </w:t>
      </w:r>
      <w:r w:rsidR="00CC1D49" w:rsidRPr="00CC1D49">
        <w:t xml:space="preserve">should be set at 18 months after entry into force of the </w:t>
      </w:r>
      <w:r w:rsidR="002623B1">
        <w:t xml:space="preserve">relevant </w:t>
      </w:r>
      <w:r w:rsidR="00CC1D49" w:rsidRPr="00CC1D49">
        <w:t>amendment of Annex II or IV</w:t>
      </w:r>
      <w:r w:rsidR="009B2D84">
        <w:t xml:space="preserve"> to </w:t>
      </w:r>
      <w:r w:rsidR="009B2D84" w:rsidRPr="00CC1D49">
        <w:t>Regulation (EC) No 1223/2009</w:t>
      </w:r>
      <w:r w:rsidR="00CC1D49" w:rsidRPr="00D55450">
        <w:t>.</w:t>
      </w:r>
      <w:r w:rsidR="00785576" w:rsidRPr="00D55450">
        <w:t xml:space="preserve"> </w:t>
      </w:r>
      <w:r w:rsidR="001E015E" w:rsidRPr="00D55450">
        <w:t xml:space="preserve"> </w:t>
      </w:r>
    </w:p>
    <w:p w14:paraId="247AAF3C" w14:textId="23018D45" w:rsidR="000D7567" w:rsidRDefault="000D7567" w:rsidP="00B14479">
      <w:pPr>
        <w:pStyle w:val="Considrant"/>
      </w:pPr>
      <w:r>
        <w:t xml:space="preserve">RAC recommended a </w:t>
      </w:r>
      <w:r w:rsidR="00AE53BC">
        <w:t xml:space="preserve">reduced </w:t>
      </w:r>
      <w:r>
        <w:t xml:space="preserve">concentration limit of 0,01 % for </w:t>
      </w:r>
      <w:r w:rsidR="002623B1">
        <w:t xml:space="preserve">substances classified in the hazard classes </w:t>
      </w:r>
      <w:r w:rsidR="00B14479" w:rsidRPr="00B14479">
        <w:t xml:space="preserve">skin </w:t>
      </w:r>
      <w:r w:rsidR="00E078D8">
        <w:t>or</w:t>
      </w:r>
      <w:r w:rsidR="00E078D8" w:rsidRPr="00B14479">
        <w:t xml:space="preserve"> </w:t>
      </w:r>
      <w:r w:rsidR="00B14479" w:rsidRPr="00B14479">
        <w:t xml:space="preserve">eye irritant, skin corrosive </w:t>
      </w:r>
      <w:r w:rsidR="00E078D8">
        <w:t>or</w:t>
      </w:r>
      <w:r w:rsidR="00E078D8" w:rsidRPr="00B14479">
        <w:t xml:space="preserve"> </w:t>
      </w:r>
      <w:r w:rsidR="00B14479" w:rsidRPr="00B14479">
        <w:t xml:space="preserve">serious eye damage </w:t>
      </w:r>
      <w:r>
        <w:t xml:space="preserve">on the basis </w:t>
      </w:r>
      <w:r w:rsidR="00AE53BC">
        <w:t>tha</w:t>
      </w:r>
      <w:r w:rsidR="002C4F9D">
        <w:t>t</w:t>
      </w:r>
      <w:r w:rsidR="00AE53BC">
        <w:t xml:space="preserve"> th</w:t>
      </w:r>
      <w:r w:rsidR="00D17B72">
        <w:t>e</w:t>
      </w:r>
      <w:r w:rsidR="00AE53BC">
        <w:t xml:space="preserve"> </w:t>
      </w:r>
      <w:r w:rsidR="00D17B72">
        <w:t>0</w:t>
      </w:r>
      <w:r w:rsidR="00FF7BF8">
        <w:t>,</w:t>
      </w:r>
      <w:r w:rsidR="00D17B72">
        <w:t xml:space="preserve">1 % </w:t>
      </w:r>
      <w:r w:rsidR="00AE53BC">
        <w:t>limit</w:t>
      </w:r>
      <w:r w:rsidR="00D17B72">
        <w:t xml:space="preserve"> proposed by the dossier submitters </w:t>
      </w:r>
      <w:r w:rsidR="006A565B">
        <w:t xml:space="preserve">did not provide sufficient protection in the case of a mixture administered </w:t>
      </w:r>
      <w:r w:rsidR="00AE53BC" w:rsidRPr="006B2CF2">
        <w:t>intradermal</w:t>
      </w:r>
      <w:r w:rsidR="006A565B" w:rsidRPr="006B2CF2">
        <w:t>ly</w:t>
      </w:r>
      <w:r>
        <w:t xml:space="preserve">. </w:t>
      </w:r>
      <w:r w:rsidR="00AE53BC">
        <w:t>D</w:t>
      </w:r>
      <w:r>
        <w:t>uring the SEAC consultation it was highlighted</w:t>
      </w:r>
      <w:r w:rsidR="00AE53BC">
        <w:t xml:space="preserve"> that</w:t>
      </w:r>
      <w:r w:rsidR="006A565B">
        <w:t>,</w:t>
      </w:r>
      <w:r w:rsidR="00AE53BC">
        <w:t xml:space="preserve"> for some </w:t>
      </w:r>
      <w:r w:rsidR="00901289">
        <w:t xml:space="preserve">acids and bases used as </w:t>
      </w:r>
      <w:r w:rsidR="00AE53BC">
        <w:t xml:space="preserve">pH regulators </w:t>
      </w:r>
      <w:r w:rsidR="00F165BA">
        <w:t xml:space="preserve">in </w:t>
      </w:r>
      <w:r w:rsidR="00CC0683">
        <w:t xml:space="preserve">tattoo </w:t>
      </w:r>
      <w:r w:rsidR="006A565B">
        <w:t>mixtures</w:t>
      </w:r>
      <w:r w:rsidR="00CC0683">
        <w:t xml:space="preserve">, </w:t>
      </w:r>
      <w:r w:rsidR="00AE53BC">
        <w:t xml:space="preserve">a </w:t>
      </w:r>
      <w:r w:rsidR="000450A1">
        <w:t>concentration</w:t>
      </w:r>
      <w:r w:rsidR="00AE53BC">
        <w:t xml:space="preserve"> of 0</w:t>
      </w:r>
      <w:r w:rsidR="000450A1">
        <w:t>,</w:t>
      </w:r>
      <w:r w:rsidR="00AE53BC">
        <w:t xml:space="preserve">01 % </w:t>
      </w:r>
      <w:r w:rsidR="000450A1">
        <w:t xml:space="preserve">or lower </w:t>
      </w:r>
      <w:r w:rsidR="00AE53BC">
        <w:t xml:space="preserve">may not be sufficient to </w:t>
      </w:r>
      <w:r w:rsidR="007917CB">
        <w:t xml:space="preserve">achieve their function of adjusting the pH of </w:t>
      </w:r>
      <w:r w:rsidR="00AE53BC">
        <w:t>the mixture.</w:t>
      </w:r>
      <w:r>
        <w:t xml:space="preserve"> </w:t>
      </w:r>
      <w:r w:rsidR="00901289">
        <w:t>Acids and bases</w:t>
      </w:r>
      <w:r w:rsidR="00F165BA">
        <w:t xml:space="preserve"> exhibit </w:t>
      </w:r>
      <w:r w:rsidR="00A81029">
        <w:t xml:space="preserve">their </w:t>
      </w:r>
      <w:r w:rsidR="00901289">
        <w:t xml:space="preserve">irritant or corrosive </w:t>
      </w:r>
      <w:r w:rsidR="00901289" w:rsidRPr="00E078D8">
        <w:t>properties because of their extreme pH values</w:t>
      </w:r>
      <w:r w:rsidR="00F165BA" w:rsidRPr="00E078D8">
        <w:t xml:space="preserve">. </w:t>
      </w:r>
      <w:r w:rsidR="00901289" w:rsidRPr="00E078D8">
        <w:t xml:space="preserve">However, the </w:t>
      </w:r>
      <w:r w:rsidRPr="00E078D8">
        <w:t xml:space="preserve">irritancy or corrosivity of a mixture </w:t>
      </w:r>
      <w:r w:rsidR="00901289" w:rsidRPr="00E078D8">
        <w:t xml:space="preserve">containing such acids and bases will depend </w:t>
      </w:r>
      <w:r w:rsidRPr="00E078D8">
        <w:t xml:space="preserve">mostly on the </w:t>
      </w:r>
      <w:r w:rsidR="006A565B" w:rsidRPr="00E078D8">
        <w:t xml:space="preserve">overall </w:t>
      </w:r>
      <w:r w:rsidRPr="00E078D8">
        <w:t xml:space="preserve">pH of </w:t>
      </w:r>
      <w:r w:rsidR="006A565B" w:rsidRPr="00E078D8">
        <w:t>the mixture</w:t>
      </w:r>
      <w:r w:rsidR="00A81029" w:rsidRPr="00E078D8">
        <w:t xml:space="preserve"> itself</w:t>
      </w:r>
      <w:r w:rsidR="006A565B" w:rsidRPr="00E078D8">
        <w:t xml:space="preserve">, </w:t>
      </w:r>
      <w:r w:rsidR="00A81029" w:rsidRPr="00E078D8">
        <w:t xml:space="preserve">rather than </w:t>
      </w:r>
      <w:r w:rsidR="00CC0683" w:rsidRPr="00E078D8">
        <w:t xml:space="preserve">on </w:t>
      </w:r>
      <w:r w:rsidR="00172D1F" w:rsidRPr="00E078D8">
        <w:t xml:space="preserve">the </w:t>
      </w:r>
      <w:r w:rsidR="00A81029" w:rsidRPr="00E078D8">
        <w:t xml:space="preserve">pH and </w:t>
      </w:r>
      <w:r w:rsidR="00172D1F" w:rsidRPr="00E078D8">
        <w:t>concentration</w:t>
      </w:r>
      <w:r w:rsidR="006A565B" w:rsidRPr="00E078D8">
        <w:t xml:space="preserve"> level of individual substances within in. In the light of these factors, it is appropriate </w:t>
      </w:r>
      <w:r w:rsidR="00B91F6C" w:rsidRPr="00E078D8">
        <w:t xml:space="preserve">to </w:t>
      </w:r>
      <w:r w:rsidR="006A565B" w:rsidRPr="00E078D8">
        <w:t xml:space="preserve">specify </w:t>
      </w:r>
      <w:r w:rsidR="000450A1" w:rsidRPr="00E078D8">
        <w:t>a concentration limit</w:t>
      </w:r>
      <w:r w:rsidR="00B91F6C" w:rsidRPr="00E078D8">
        <w:t xml:space="preserve"> of 0</w:t>
      </w:r>
      <w:r w:rsidR="000450A1" w:rsidRPr="00E078D8">
        <w:t>,</w:t>
      </w:r>
      <w:r w:rsidR="00B91F6C" w:rsidRPr="00E078D8">
        <w:t xml:space="preserve">1 % for </w:t>
      </w:r>
      <w:r w:rsidR="00A81029" w:rsidRPr="00E078D8">
        <w:t xml:space="preserve">irritant or corrosive </w:t>
      </w:r>
      <w:r w:rsidR="002A6DDD" w:rsidRPr="00E078D8">
        <w:t xml:space="preserve">substances </w:t>
      </w:r>
      <w:r w:rsidR="00EA1398" w:rsidRPr="00E078D8">
        <w:t xml:space="preserve">when </w:t>
      </w:r>
      <w:r w:rsidR="006A565B" w:rsidRPr="00E078D8">
        <w:t xml:space="preserve">they are </w:t>
      </w:r>
      <w:r w:rsidR="00A5327D" w:rsidRPr="00D4473C">
        <w:t xml:space="preserve">used </w:t>
      </w:r>
      <w:r w:rsidR="00B91F6C" w:rsidRPr="00E078D8">
        <w:t>as pH regulators</w:t>
      </w:r>
      <w:r w:rsidR="00837463" w:rsidRPr="00E078D8">
        <w:t>.</w:t>
      </w:r>
      <w:r w:rsidR="002711ED">
        <w:t xml:space="preserve"> </w:t>
      </w:r>
    </w:p>
    <w:p w14:paraId="11A16159" w14:textId="4B35CE7E" w:rsidR="001C66A0" w:rsidRDefault="001C66A0" w:rsidP="003B0D42">
      <w:pPr>
        <w:pStyle w:val="Considrant"/>
      </w:pPr>
      <w:r>
        <w:t xml:space="preserve">Currently, </w:t>
      </w:r>
      <w:r w:rsidR="009E7C17">
        <w:t xml:space="preserve">labelling requirements for mixtures </w:t>
      </w:r>
      <w:r w:rsidR="006A565B">
        <w:t xml:space="preserve">used </w:t>
      </w:r>
      <w:r w:rsidR="009E7C17">
        <w:t xml:space="preserve">for tattooing purposes </w:t>
      </w:r>
      <w:r>
        <w:t xml:space="preserve">are not harmonised </w:t>
      </w:r>
      <w:r w:rsidR="009E7C17">
        <w:t xml:space="preserve">across the Union. </w:t>
      </w:r>
      <w:r w:rsidR="006A565B">
        <w:t xml:space="preserve">Given </w:t>
      </w:r>
      <w:r>
        <w:t xml:space="preserve">the inherent health risks </w:t>
      </w:r>
      <w:r w:rsidR="00CB7260">
        <w:t xml:space="preserve">related to </w:t>
      </w:r>
      <w:r w:rsidRPr="00D4473C">
        <w:t xml:space="preserve">substances  </w:t>
      </w:r>
      <w:r w:rsidR="006A565B" w:rsidRPr="00D4473C">
        <w:t>in</w:t>
      </w:r>
      <w:r w:rsidR="006A565B">
        <w:t xml:space="preserve"> tattoo mixtures </w:t>
      </w:r>
      <w:r>
        <w:t xml:space="preserve">and the </w:t>
      </w:r>
      <w:r w:rsidR="006A565B">
        <w:t>increasing number of people seeking tattoos and permanent make-up</w:t>
      </w:r>
      <w:r>
        <w:t>, harm</w:t>
      </w:r>
      <w:r w:rsidR="00CB7260">
        <w:t>onisation</w:t>
      </w:r>
      <w:r>
        <w:t xml:space="preserve"> </w:t>
      </w:r>
      <w:r w:rsidR="00CB7260">
        <w:t xml:space="preserve">of what is written on the packaging </w:t>
      </w:r>
      <w:r>
        <w:t xml:space="preserve">is required to </w:t>
      </w:r>
      <w:r w:rsidR="008A376D">
        <w:t xml:space="preserve">ensure proper implementation of the restriction, and thus </w:t>
      </w:r>
      <w:r>
        <w:t>establish confidence in a Union-wide market of safe products for tattooing purposes</w:t>
      </w:r>
      <w:r w:rsidR="008A376D">
        <w:t>, allow essential monitoring and enforcement by authorities, and address and prevent fragmentation of the internal market</w:t>
      </w:r>
      <w:r>
        <w:t xml:space="preserve">. </w:t>
      </w:r>
    </w:p>
    <w:p w14:paraId="772050EC" w14:textId="151A15B3" w:rsidR="00442AE4" w:rsidRDefault="00C97241" w:rsidP="00AC172B">
      <w:pPr>
        <w:pStyle w:val="Considrant"/>
      </w:pPr>
      <w:r>
        <w:t xml:space="preserve">The Commission considers that, to </w:t>
      </w:r>
      <w:r w:rsidR="008A376D">
        <w:t xml:space="preserve">ensure proper implementation of the restriction and </w:t>
      </w:r>
      <w:r>
        <w:t xml:space="preserve">permit direct traceability in case of adverse health effects, a mixture placed on the market in the Union </w:t>
      </w:r>
      <w:r w:rsidR="006A565B">
        <w:t xml:space="preserve">for use for tattooing purposes </w:t>
      </w:r>
      <w:r>
        <w:t xml:space="preserve">should be marked with a </w:t>
      </w:r>
      <w:r w:rsidRPr="00B04195">
        <w:t>list of</w:t>
      </w:r>
      <w:r w:rsidR="00104AB8" w:rsidRPr="00B04195">
        <w:t xml:space="preserve"> </w:t>
      </w:r>
      <w:r w:rsidR="00BA5C98" w:rsidRPr="00B04195">
        <w:t>substances</w:t>
      </w:r>
      <w:r w:rsidR="00783488" w:rsidRPr="00B04195">
        <w:t xml:space="preserve"> added during the process of formulation</w:t>
      </w:r>
      <w:r w:rsidR="007755B3" w:rsidRPr="00B04195">
        <w:t xml:space="preserve"> and present in the</w:t>
      </w:r>
      <w:r w:rsidR="001C6C08" w:rsidRPr="00B04195">
        <w:t xml:space="preserve"> mixture for </w:t>
      </w:r>
      <w:r w:rsidR="00BA5C98" w:rsidRPr="00B04195">
        <w:t xml:space="preserve">use </w:t>
      </w:r>
      <w:r w:rsidR="00C90015" w:rsidRPr="00B04195">
        <w:t>for</w:t>
      </w:r>
      <w:r w:rsidR="00C90015" w:rsidRPr="00B04195">
        <w:rPr>
          <w:rStyle w:val="CommentReference"/>
        </w:rPr>
        <w:t xml:space="preserve"> </w:t>
      </w:r>
      <w:r w:rsidR="00C90015" w:rsidRPr="00B04195">
        <w:t>tattooing</w:t>
      </w:r>
      <w:r w:rsidR="001C6C08" w:rsidRPr="00B04195">
        <w:t xml:space="preserve"> purposes</w:t>
      </w:r>
      <w:r w:rsidRPr="00B04195">
        <w:t xml:space="preserve">. </w:t>
      </w:r>
      <w:r w:rsidR="00F65D95">
        <w:rPr>
          <w:szCs w:val="24"/>
        </w:rPr>
        <w:t xml:space="preserve">For </w:t>
      </w:r>
      <w:r w:rsidR="00F43862">
        <w:rPr>
          <w:szCs w:val="24"/>
        </w:rPr>
        <w:t>the same purpose, the tattooist should provide information marked on the packaging</w:t>
      </w:r>
      <w:r w:rsidR="001A64FA">
        <w:rPr>
          <w:szCs w:val="24"/>
        </w:rPr>
        <w:t>,</w:t>
      </w:r>
      <w:r w:rsidR="00F43862">
        <w:rPr>
          <w:szCs w:val="24"/>
        </w:rPr>
        <w:t xml:space="preserve"> or included in the instructions for use, to the person undergoing the procedure</w:t>
      </w:r>
      <w:r w:rsidR="00F43862">
        <w:rPr>
          <w:b/>
          <w:szCs w:val="24"/>
        </w:rPr>
        <w:t>.</w:t>
      </w:r>
      <w:r w:rsidR="00F43862">
        <w:t xml:space="preserve"> </w:t>
      </w:r>
      <w:r w:rsidR="00BA5C98" w:rsidRPr="00B04195">
        <w:t>The requirement to indicate a</w:t>
      </w:r>
      <w:r w:rsidRPr="00B04195">
        <w:t xml:space="preserve"> full list of </w:t>
      </w:r>
      <w:r w:rsidR="00104AB8" w:rsidRPr="00B04195">
        <w:t>ingredients</w:t>
      </w:r>
      <w:r w:rsidR="002271A7" w:rsidRPr="00B04195">
        <w:t xml:space="preserve"> </w:t>
      </w:r>
      <w:r w:rsidRPr="00B04195">
        <w:t xml:space="preserve">serves to address </w:t>
      </w:r>
      <w:r w:rsidR="00E078D8" w:rsidRPr="00B04195">
        <w:t xml:space="preserve">a </w:t>
      </w:r>
      <w:r w:rsidR="005200A9" w:rsidRPr="00B04195">
        <w:t>possible</w:t>
      </w:r>
      <w:r w:rsidRPr="00B04195">
        <w:t xml:space="preserve"> patchwork of national </w:t>
      </w:r>
      <w:r w:rsidR="005200A9" w:rsidRPr="00B04195">
        <w:t>rules</w:t>
      </w:r>
      <w:r w:rsidRPr="00B04195">
        <w:t xml:space="preserve">, achieve economies of scale for </w:t>
      </w:r>
      <w:r w:rsidR="005200A9" w:rsidRPr="00B04195">
        <w:t xml:space="preserve">formulators </w:t>
      </w:r>
      <w:r w:rsidRPr="00B04195">
        <w:t>and harness the full benefits of market harmonisation. Moreover</w:t>
      </w:r>
      <w:r>
        <w:t xml:space="preserve">, providing </w:t>
      </w:r>
      <w:r w:rsidR="002271A7">
        <w:t xml:space="preserve">such </w:t>
      </w:r>
      <w:r>
        <w:t xml:space="preserve">a full list is also </w:t>
      </w:r>
      <w:r w:rsidR="008A376D">
        <w:t xml:space="preserve">necessary </w:t>
      </w:r>
      <w:r>
        <w:t xml:space="preserve">to ensure that the restriction of an extensive list of substances is practically enforceable, monitorable, and effective throughout the Union. </w:t>
      </w:r>
      <w:r w:rsidR="00AC172B" w:rsidRPr="00AC172B">
        <w:t>Th</w:t>
      </w:r>
      <w:r w:rsidR="006B2CF2">
        <w:t>e</w:t>
      </w:r>
      <w:r w:rsidR="00AC172B" w:rsidRPr="00AC172B">
        <w:t xml:space="preserve"> common nomenclature </w:t>
      </w:r>
      <w:r w:rsidR="00AC172B">
        <w:t xml:space="preserve">proposed </w:t>
      </w:r>
      <w:r w:rsidR="00AC172B" w:rsidRPr="00AC172B">
        <w:t>will make it possible to identify the substances by using a unique name in all the Member States. This will enable consumers to easily recognize substances which they have been advised to avoid (for example because of allergies)</w:t>
      </w:r>
      <w:r w:rsidR="006B2CF2">
        <w:t xml:space="preserve">. </w:t>
      </w:r>
    </w:p>
    <w:p w14:paraId="2DCD536A" w14:textId="3E55C1A9" w:rsidR="009F139E" w:rsidRPr="00616985" w:rsidRDefault="003B0D42" w:rsidP="002271A7">
      <w:pPr>
        <w:pStyle w:val="Considrant"/>
      </w:pPr>
      <w:r>
        <w:t xml:space="preserve">To complement the full list of </w:t>
      </w:r>
      <w:r w:rsidR="00E078D8">
        <w:t>ingredients</w:t>
      </w:r>
      <w:r>
        <w:t xml:space="preserve"> and any potential labelling requirements under </w:t>
      </w:r>
      <w:r w:rsidRPr="009C12A0">
        <w:t>Regulation (EC) No 1272/2008</w:t>
      </w:r>
      <w:r>
        <w:t>,</w:t>
      </w:r>
      <w:r w:rsidRPr="009C12A0">
        <w:t xml:space="preserve"> </w:t>
      </w:r>
      <w:r>
        <w:t>the Commission agrees with RAC and SEAC</w:t>
      </w:r>
      <w:r w:rsidR="00783488">
        <w:t xml:space="preserve"> as regards the other pieces of information that should be marked on mixtures for use for tattooing purposes</w:t>
      </w:r>
      <w:r>
        <w:t xml:space="preserve">, in particular the unique batch number, the </w:t>
      </w:r>
      <w:r w:rsidR="00783488">
        <w:t xml:space="preserve">presence of any </w:t>
      </w:r>
      <w:r>
        <w:t xml:space="preserve">nickel and chromium (VI), and further safety information on the packaging or in the instructions of use. </w:t>
      </w:r>
      <w:r w:rsidR="006044E7">
        <w:t xml:space="preserve">The Commission also considers that the presence of </w:t>
      </w:r>
      <w:r w:rsidR="001A64FA">
        <w:t xml:space="preserve">pH regulating </w:t>
      </w:r>
      <w:r w:rsidR="006044E7">
        <w:t xml:space="preserve">substances </w:t>
      </w:r>
      <w:r w:rsidR="001A64FA">
        <w:t>should be specifically marked</w:t>
      </w:r>
      <w:r w:rsidR="006044E7">
        <w:t>.</w:t>
      </w:r>
    </w:p>
    <w:p w14:paraId="3905CFB7" w14:textId="4383E76C" w:rsidR="00783488" w:rsidRPr="00FC275A" w:rsidRDefault="00E078D8" w:rsidP="00E078D8">
      <w:pPr>
        <w:pStyle w:val="Considrant"/>
      </w:pPr>
      <w:r w:rsidRPr="000B3CC1">
        <w:t>To facilitate complian</w:t>
      </w:r>
      <w:r w:rsidR="00601200" w:rsidRPr="000B3CC1">
        <w:t>ce</w:t>
      </w:r>
      <w:r w:rsidRPr="000B3CC1">
        <w:t xml:space="preserve"> of tattoo</w:t>
      </w:r>
      <w:r w:rsidR="00601200" w:rsidRPr="000B3CC1">
        <w:t>ists</w:t>
      </w:r>
      <w:r w:rsidRPr="000B3CC1">
        <w:t xml:space="preserve"> with th</w:t>
      </w:r>
      <w:r w:rsidR="007755B3" w:rsidRPr="000B3CC1">
        <w:t>is</w:t>
      </w:r>
      <w:r w:rsidRPr="000B3CC1">
        <w:t xml:space="preserve"> restriction, only mixtures that are marked with the statement ‘Mixture for use </w:t>
      </w:r>
      <w:r w:rsidR="005E5F4B" w:rsidRPr="000B3CC1">
        <w:t>in</w:t>
      </w:r>
      <w:r w:rsidRPr="000B3CC1">
        <w:t xml:space="preserve"> tattoo</w:t>
      </w:r>
      <w:r w:rsidR="005E5F4B" w:rsidRPr="000B3CC1">
        <w:t>s</w:t>
      </w:r>
      <w:r w:rsidR="001C6C08" w:rsidRPr="000B3CC1">
        <w:t xml:space="preserve"> or permanent make-up</w:t>
      </w:r>
      <w:r w:rsidRPr="000B3CC1">
        <w:t>’ should be used for tattooing purposes.</w:t>
      </w:r>
      <w:r w:rsidRPr="00FC275A">
        <w:t xml:space="preserve"> </w:t>
      </w:r>
    </w:p>
    <w:p w14:paraId="2EFE80E3" w14:textId="16486BFB" w:rsidR="00871892" w:rsidRPr="00DC377F" w:rsidRDefault="00E544AA" w:rsidP="0083476F">
      <w:pPr>
        <w:pStyle w:val="Considrant"/>
      </w:pPr>
      <w:r w:rsidRPr="000B3CC1">
        <w:t>Taking into account the Annex XV dossier</w:t>
      </w:r>
      <w:r w:rsidR="00634EE7" w:rsidRPr="000B3CC1">
        <w:t>,</w:t>
      </w:r>
      <w:r w:rsidRPr="000B3CC1">
        <w:t xml:space="preserve"> the opinions of RAC and SEAC, </w:t>
      </w:r>
      <w:r w:rsidR="0083476F" w:rsidRPr="000B3CC1">
        <w:t xml:space="preserve">the socio-economic impact and the availability of alternatives, </w:t>
      </w:r>
      <w:r w:rsidRPr="000B3CC1">
        <w:t xml:space="preserve">the Commission </w:t>
      </w:r>
      <w:r w:rsidR="00A22222" w:rsidRPr="000B3CC1">
        <w:t xml:space="preserve">concludes </w:t>
      </w:r>
      <w:r w:rsidRPr="000B3CC1">
        <w:t>that the restriction</w:t>
      </w:r>
      <w:r w:rsidR="001E015E" w:rsidRPr="000B3CC1">
        <w:t xml:space="preserve"> proposed in</w:t>
      </w:r>
      <w:r w:rsidR="001E015E">
        <w:t xml:space="preserve"> the Annex XV dossier</w:t>
      </w:r>
      <w:r w:rsidR="00292F70">
        <w:t xml:space="preserve">, </w:t>
      </w:r>
      <w:r w:rsidR="001E015E">
        <w:t>with the modifications described</w:t>
      </w:r>
      <w:r w:rsidR="00292F70">
        <w:t>,</w:t>
      </w:r>
      <w:r w:rsidRPr="003655F0">
        <w:t xml:space="preserve"> </w:t>
      </w:r>
      <w:r w:rsidR="00A22222" w:rsidRPr="003655F0">
        <w:t xml:space="preserve">is </w:t>
      </w:r>
      <w:r w:rsidR="00A22222">
        <w:t>the most</w:t>
      </w:r>
      <w:r w:rsidR="00A22222" w:rsidRPr="003655F0">
        <w:t xml:space="preserve"> appropriate Union-wide measure</w:t>
      </w:r>
      <w:r w:rsidR="00A22222">
        <w:t xml:space="preserve"> to </w:t>
      </w:r>
      <w:r w:rsidRPr="003655F0">
        <w:t>address the risk</w:t>
      </w:r>
      <w:r w:rsidR="001E015E">
        <w:t xml:space="preserve"> identified to human health</w:t>
      </w:r>
      <w:r w:rsidR="00A22222">
        <w:t>,</w:t>
      </w:r>
      <w:r w:rsidRPr="003655F0">
        <w:t xml:space="preserve"> without </w:t>
      </w:r>
      <w:r w:rsidRPr="00DC377F">
        <w:t xml:space="preserve">imposing </w:t>
      </w:r>
      <w:r w:rsidR="00A22222" w:rsidRPr="00DC377F">
        <w:t xml:space="preserve">a </w:t>
      </w:r>
      <w:r w:rsidRPr="00DC377F">
        <w:t>significant burden on</w:t>
      </w:r>
      <w:r w:rsidR="00292F70" w:rsidRPr="00DC377F">
        <w:t xml:space="preserve"> </w:t>
      </w:r>
      <w:r w:rsidR="00F37AB0">
        <w:t>suppliers</w:t>
      </w:r>
      <w:r w:rsidR="0028327D">
        <w:t xml:space="preserve">, tattooists </w:t>
      </w:r>
      <w:r w:rsidR="001E015E">
        <w:t xml:space="preserve">or </w:t>
      </w:r>
      <w:r w:rsidR="003379CA" w:rsidRPr="00DC377F">
        <w:t>consumers</w:t>
      </w:r>
      <w:r w:rsidR="00D40232" w:rsidRPr="00DC377F">
        <w:t>.</w:t>
      </w:r>
    </w:p>
    <w:p w14:paraId="74A36365" w14:textId="238B8278" w:rsidR="0075772A" w:rsidRPr="00D55450" w:rsidRDefault="00E544AA" w:rsidP="0075772A">
      <w:pPr>
        <w:pStyle w:val="Considrant"/>
      </w:pPr>
      <w:r w:rsidRPr="00DC377F">
        <w:t>Stakeholders should be allowed sufficient time to take appropriate measures to comply with</w:t>
      </w:r>
      <w:r w:rsidR="00214228" w:rsidRPr="00DC377F">
        <w:t xml:space="preserve"> the </w:t>
      </w:r>
      <w:r w:rsidR="00783488">
        <w:t xml:space="preserve">new </w:t>
      </w:r>
      <w:r w:rsidR="00214228" w:rsidRPr="00DC377F">
        <w:t>restriction</w:t>
      </w:r>
      <w:r w:rsidR="00292F70" w:rsidRPr="00DC377F">
        <w:t>.</w:t>
      </w:r>
      <w:r w:rsidR="003805B1" w:rsidRPr="00DC377F">
        <w:t xml:space="preserve"> </w:t>
      </w:r>
      <w:r w:rsidR="007E693A" w:rsidRPr="00DC377F">
        <w:t>The</w:t>
      </w:r>
      <w:r w:rsidR="00835FFC" w:rsidRPr="00DC377F">
        <w:t xml:space="preserve"> </w:t>
      </w:r>
      <w:r w:rsidR="007E693A" w:rsidRPr="00DC377F">
        <w:t xml:space="preserve">Commission </w:t>
      </w:r>
      <w:r w:rsidR="001E015E">
        <w:t xml:space="preserve">considers </w:t>
      </w:r>
      <w:r w:rsidR="007E693A" w:rsidRPr="00DC377F">
        <w:t xml:space="preserve">that </w:t>
      </w:r>
      <w:r w:rsidR="001E015E">
        <w:t xml:space="preserve">a </w:t>
      </w:r>
      <w:r w:rsidR="00835FFC" w:rsidRPr="00DC377F">
        <w:t xml:space="preserve">period </w:t>
      </w:r>
      <w:r w:rsidR="001E015E">
        <w:t xml:space="preserve">of 12 months </w:t>
      </w:r>
      <w:r w:rsidR="00292B48" w:rsidRPr="00DC377F">
        <w:t>is sufficient for laboratories</w:t>
      </w:r>
      <w:r w:rsidR="00F923AC">
        <w:t xml:space="preserve"> </w:t>
      </w:r>
      <w:r w:rsidR="00292B48" w:rsidRPr="001E015E">
        <w:t xml:space="preserve">to </w:t>
      </w:r>
      <w:r w:rsidR="001E015E" w:rsidRPr="007763E1">
        <w:t xml:space="preserve">establish, </w:t>
      </w:r>
      <w:r w:rsidR="00292B48" w:rsidRPr="001E015E">
        <w:t>and</w:t>
      </w:r>
      <w:r w:rsidR="00292B48" w:rsidRPr="00DC377F">
        <w:t xml:space="preserve"> </w:t>
      </w:r>
      <w:r w:rsidR="001E015E">
        <w:t xml:space="preserve">gain </w:t>
      </w:r>
      <w:r w:rsidR="00292B48" w:rsidRPr="00DC377F">
        <w:t xml:space="preserve">the necessary experience </w:t>
      </w:r>
      <w:r w:rsidR="009977B5">
        <w:t>with</w:t>
      </w:r>
      <w:r w:rsidR="001E015E">
        <w:t>,</w:t>
      </w:r>
      <w:r w:rsidR="00292B48" w:rsidRPr="00DC377F">
        <w:t xml:space="preserve"> </w:t>
      </w:r>
      <w:r w:rsidR="001E015E">
        <w:t xml:space="preserve">the </w:t>
      </w:r>
      <w:r w:rsidR="00292B48" w:rsidRPr="00DC377F">
        <w:t xml:space="preserve">analytical methods developed or </w:t>
      </w:r>
      <w:r w:rsidR="001E015E">
        <w:t xml:space="preserve">being developed </w:t>
      </w:r>
      <w:r w:rsidR="00292B48" w:rsidRPr="00DC377F">
        <w:t xml:space="preserve">by </w:t>
      </w:r>
      <w:r w:rsidR="00876E08">
        <w:t xml:space="preserve">the </w:t>
      </w:r>
      <w:r w:rsidR="00292B48" w:rsidRPr="00DC377F">
        <w:t xml:space="preserve">Member States and </w:t>
      </w:r>
      <w:r w:rsidR="00876E08">
        <w:t xml:space="preserve">other </w:t>
      </w:r>
      <w:r w:rsidR="00292B48" w:rsidRPr="00D55450">
        <w:t xml:space="preserve">stakeholders </w:t>
      </w:r>
      <w:r w:rsidR="00835FFC" w:rsidRPr="00D55450">
        <w:t xml:space="preserve">for </w:t>
      </w:r>
      <w:r w:rsidR="001E015E" w:rsidRPr="00D55450">
        <w:t xml:space="preserve">checking </w:t>
      </w:r>
      <w:r w:rsidR="00835FFC" w:rsidRPr="00D55450">
        <w:t>compliance with th</w:t>
      </w:r>
      <w:r w:rsidR="00876E08" w:rsidRPr="00D55450">
        <w:t>e</w:t>
      </w:r>
      <w:r w:rsidR="00835FFC" w:rsidRPr="00D55450">
        <w:t xml:space="preserve"> </w:t>
      </w:r>
      <w:r w:rsidR="00876E08" w:rsidRPr="00D55450">
        <w:t>restriction</w:t>
      </w:r>
      <w:r w:rsidR="00835FFC" w:rsidRPr="00D55450">
        <w:t>.</w:t>
      </w:r>
    </w:p>
    <w:p w14:paraId="3B291F37" w14:textId="485AECC8" w:rsidR="0075772A" w:rsidRPr="00D55450" w:rsidRDefault="00292F70" w:rsidP="00CC2C3A">
      <w:pPr>
        <w:pStyle w:val="Considrant"/>
      </w:pPr>
      <w:r w:rsidRPr="00D55450">
        <w:t>T</w:t>
      </w:r>
      <w:r w:rsidR="00D03398" w:rsidRPr="00D55450">
        <w:t xml:space="preserve">he Commission </w:t>
      </w:r>
      <w:r w:rsidR="001E015E" w:rsidRPr="00D55450">
        <w:t xml:space="preserve">agrees </w:t>
      </w:r>
      <w:r w:rsidR="00D03398" w:rsidRPr="00D55450">
        <w:t>with SEAC</w:t>
      </w:r>
      <w:r w:rsidR="0074184E" w:rsidRPr="00D55450">
        <w:t>’s recommendation</w:t>
      </w:r>
      <w:r w:rsidR="00D03398" w:rsidRPr="00D55450">
        <w:t xml:space="preserve"> that a</w:t>
      </w:r>
      <w:r w:rsidR="00E544AA" w:rsidRPr="00D55450">
        <w:t xml:space="preserve"> longer </w:t>
      </w:r>
      <w:r w:rsidR="001E015E" w:rsidRPr="00D55450">
        <w:t xml:space="preserve">period </w:t>
      </w:r>
      <w:r w:rsidR="00E544AA" w:rsidRPr="00D55450">
        <w:t xml:space="preserve">should </w:t>
      </w:r>
      <w:r w:rsidR="001E015E" w:rsidRPr="00D55450">
        <w:t xml:space="preserve">be allowed for </w:t>
      </w:r>
      <w:r w:rsidR="0063045C" w:rsidRPr="00D55450">
        <w:t>P</w:t>
      </w:r>
      <w:r w:rsidR="00C95BCE" w:rsidRPr="00D55450">
        <w:t xml:space="preserve">igment </w:t>
      </w:r>
      <w:r w:rsidR="0063045C" w:rsidRPr="00D55450">
        <w:t>B</w:t>
      </w:r>
      <w:r w:rsidR="00C95BCE" w:rsidRPr="00D55450">
        <w:t xml:space="preserve">lue 15:3 and </w:t>
      </w:r>
      <w:r w:rsidR="0063045C" w:rsidRPr="00D55450">
        <w:t>P</w:t>
      </w:r>
      <w:r w:rsidR="00C95BCE" w:rsidRPr="00D55450">
        <w:t xml:space="preserve">igment </w:t>
      </w:r>
      <w:r w:rsidR="0063045C" w:rsidRPr="00D55450">
        <w:t>G</w:t>
      </w:r>
      <w:r w:rsidR="00C95BCE" w:rsidRPr="00D55450">
        <w:t>reen 7</w:t>
      </w:r>
      <w:r w:rsidR="001E015E" w:rsidRPr="00D55450">
        <w:t xml:space="preserve"> because of </w:t>
      </w:r>
      <w:r w:rsidR="00292B48" w:rsidRPr="00D55450">
        <w:t xml:space="preserve">the lack of </w:t>
      </w:r>
      <w:r w:rsidRPr="00D55450">
        <w:t xml:space="preserve">safer and technically </w:t>
      </w:r>
      <w:r w:rsidR="00292B48" w:rsidRPr="00D55450">
        <w:t>adequate alternatives and the time needed by</w:t>
      </w:r>
      <w:r w:rsidR="00F923AC" w:rsidRPr="00D55450">
        <w:t xml:space="preserve"> manufacturers </w:t>
      </w:r>
      <w:r w:rsidR="00292B48" w:rsidRPr="00D55450">
        <w:t xml:space="preserve">to reformulate </w:t>
      </w:r>
      <w:r w:rsidR="001E015E" w:rsidRPr="00D55450">
        <w:t xml:space="preserve">their </w:t>
      </w:r>
      <w:r w:rsidR="00B14479" w:rsidRPr="00D55450">
        <w:t>mixtures</w:t>
      </w:r>
      <w:r w:rsidR="00AB38FA" w:rsidRPr="00D55450">
        <w:t xml:space="preserve">. </w:t>
      </w:r>
      <w:r w:rsidR="00292B48" w:rsidRPr="00D55450">
        <w:t>The Commission considers</w:t>
      </w:r>
      <w:r w:rsidR="001E015E" w:rsidRPr="00D55450">
        <w:t xml:space="preserve">, </w:t>
      </w:r>
      <w:r w:rsidR="00292B48" w:rsidRPr="00D55450">
        <w:t xml:space="preserve">that </w:t>
      </w:r>
      <w:r w:rsidR="00A00117">
        <w:t>24</w:t>
      </w:r>
      <w:r w:rsidR="00A00117" w:rsidRPr="00D55450">
        <w:t xml:space="preserve"> </w:t>
      </w:r>
      <w:r w:rsidR="00292B48" w:rsidRPr="00D55450">
        <w:t xml:space="preserve"> months is sufficient to find safer alternatives</w:t>
      </w:r>
      <w:r w:rsidR="0028327D" w:rsidRPr="00D55450">
        <w:t xml:space="preserve"> </w:t>
      </w:r>
      <w:r w:rsidR="009977B5" w:rsidRPr="00D55450">
        <w:t xml:space="preserve">and </w:t>
      </w:r>
      <w:r w:rsidR="0028327D" w:rsidRPr="00D55450">
        <w:t xml:space="preserve">to remove </w:t>
      </w:r>
      <w:r w:rsidR="004369AD">
        <w:t>m</w:t>
      </w:r>
      <w:r w:rsidR="008F7FD7">
        <w:t xml:space="preserve">ixtures </w:t>
      </w:r>
      <w:r w:rsidR="00783488">
        <w:t xml:space="preserve">placed on the market for use </w:t>
      </w:r>
      <w:r w:rsidR="008F7FD7">
        <w:t>for tattooing purposes</w:t>
      </w:r>
      <w:r w:rsidR="004369AD">
        <w:t xml:space="preserve"> </w:t>
      </w:r>
      <w:r w:rsidR="009977B5" w:rsidRPr="00D55450">
        <w:t xml:space="preserve">containing these pigments </w:t>
      </w:r>
      <w:r w:rsidR="0028327D" w:rsidRPr="00D55450">
        <w:t>from the market</w:t>
      </w:r>
      <w:r w:rsidR="00AE53BC" w:rsidRPr="00D55450">
        <w:t>.</w:t>
      </w:r>
      <w:r w:rsidR="00AA08CA" w:rsidRPr="00D55450">
        <w:t xml:space="preserve"> </w:t>
      </w:r>
    </w:p>
    <w:p w14:paraId="01A010A8" w14:textId="5B5420C3" w:rsidR="00065965" w:rsidRPr="000B3CC1" w:rsidRDefault="00065965" w:rsidP="00E078D8">
      <w:pPr>
        <w:pStyle w:val="Considrant"/>
      </w:pPr>
      <w:r>
        <w:t xml:space="preserve">Mixtures </w:t>
      </w:r>
      <w:r w:rsidR="00783488">
        <w:t xml:space="preserve">placed on the market for use </w:t>
      </w:r>
      <w:r>
        <w:t xml:space="preserve">for tattooing purposes are </w:t>
      </w:r>
      <w:r w:rsidR="00783488">
        <w:t xml:space="preserve">administered </w:t>
      </w:r>
      <w:r>
        <w:t xml:space="preserve">for a variety of reasons, including </w:t>
      </w:r>
      <w:r w:rsidR="00783488">
        <w:t xml:space="preserve">both </w:t>
      </w:r>
      <w:r>
        <w:t xml:space="preserve">aesthetic </w:t>
      </w:r>
      <w:r w:rsidR="00783488">
        <w:t xml:space="preserve">and </w:t>
      </w:r>
      <w:r>
        <w:t xml:space="preserve">medical reasons. </w:t>
      </w:r>
      <w:r w:rsidR="00783488">
        <w:t xml:space="preserve">Such </w:t>
      </w:r>
      <w:r w:rsidRPr="00065965">
        <w:t>mixtures may fall within the scope of Regulation (EU) 2017/745</w:t>
      </w:r>
      <w:r w:rsidR="00783488">
        <w:t xml:space="preserve"> of the European Parliament and of the Council</w:t>
      </w:r>
      <w:r w:rsidRPr="00065965">
        <w:rPr>
          <w:rStyle w:val="FootnoteReference"/>
        </w:rPr>
        <w:footnoteReference w:id="12"/>
      </w:r>
      <w:r w:rsidR="00783488">
        <w:t>. W</w:t>
      </w:r>
      <w:r w:rsidRPr="00AA44F2">
        <w:t xml:space="preserve">hen </w:t>
      </w:r>
      <w:r w:rsidRPr="000B3CC1">
        <w:t>placed on the market or used exclusively for medical purposes within the meaning of Regulation</w:t>
      </w:r>
      <w:r w:rsidR="00AC0BBC" w:rsidRPr="000B3CC1">
        <w:t xml:space="preserve"> (EU) 2017/745</w:t>
      </w:r>
      <w:r w:rsidRPr="000B3CC1">
        <w:t xml:space="preserve">, </w:t>
      </w:r>
      <w:r w:rsidR="00783488" w:rsidRPr="000B3CC1">
        <w:t>the restriction established by this Regulation should not apply to them</w:t>
      </w:r>
      <w:r w:rsidRPr="000B3CC1">
        <w:t>. In order to ensure a consistent regulatory approach between Regulation</w:t>
      </w:r>
      <w:r w:rsidR="00993BB4" w:rsidRPr="000B3CC1">
        <w:t>s</w:t>
      </w:r>
      <w:r w:rsidRPr="000B3CC1">
        <w:t xml:space="preserve"> (EU) 2017/745</w:t>
      </w:r>
      <w:r w:rsidR="00783488" w:rsidRPr="000B3CC1">
        <w:t xml:space="preserve"> </w:t>
      </w:r>
      <w:r w:rsidRPr="000B3CC1">
        <w:t xml:space="preserve">and (EC) No 1907/2006 and to guarantee a high level of protection of human health, when the placing on the market or use of </w:t>
      </w:r>
      <w:r w:rsidR="00783488" w:rsidRPr="000B3CC1">
        <w:t xml:space="preserve">such </w:t>
      </w:r>
      <w:r w:rsidRPr="000B3CC1">
        <w:t xml:space="preserve">mixtures may </w:t>
      </w:r>
      <w:r w:rsidR="00993BB4" w:rsidRPr="000B3CC1">
        <w:t>be for</w:t>
      </w:r>
      <w:r w:rsidRPr="000B3CC1">
        <w:t xml:space="preserve"> </w:t>
      </w:r>
      <w:r w:rsidR="00783488" w:rsidRPr="000B3CC1">
        <w:t>both</w:t>
      </w:r>
      <w:r w:rsidRPr="000B3CC1">
        <w:t xml:space="preserve">, medical and non-medical purposes, the specific obligations and requirements laid down in both Regulations should apply cumulatively. </w:t>
      </w:r>
    </w:p>
    <w:p w14:paraId="74ABB73F" w14:textId="77777777" w:rsidR="00E544AA" w:rsidRPr="0054311E" w:rsidRDefault="0059156B" w:rsidP="00CC2C3A">
      <w:pPr>
        <w:pStyle w:val="Considrant"/>
      </w:pPr>
      <w:r w:rsidRPr="00D55450">
        <w:t>Regulation</w:t>
      </w:r>
      <w:r w:rsidRPr="0054311E">
        <w:t xml:space="preserve"> (EC) No 1907/2006 </w:t>
      </w:r>
      <w:r w:rsidR="00E544AA" w:rsidRPr="0054311E">
        <w:t>should therefore be amended accordingly.</w:t>
      </w:r>
    </w:p>
    <w:p w14:paraId="7AA1F142" w14:textId="77777777" w:rsidR="00327183" w:rsidRPr="00A01AA1" w:rsidRDefault="00327183" w:rsidP="00D736DF">
      <w:pPr>
        <w:pStyle w:val="Considrant"/>
      </w:pPr>
      <w:r w:rsidRPr="0054311E">
        <w:t>The measures provided for in this Regulation are in accordance with the opinion of the</w:t>
      </w:r>
      <w:r w:rsidRPr="00A01AA1">
        <w:t> Committee</w:t>
      </w:r>
      <w:r w:rsidR="000A5A0E">
        <w:t xml:space="preserve"> established </w:t>
      </w:r>
      <w:r w:rsidR="00484D07">
        <w:t>by</w:t>
      </w:r>
      <w:r w:rsidR="000A5A0E">
        <w:t xml:space="preserve"> Article </w:t>
      </w:r>
      <w:r w:rsidR="00D96890">
        <w:t xml:space="preserve">133(1) </w:t>
      </w:r>
      <w:r w:rsidR="000A5A0E">
        <w:t>of Regulation (EC) No 1907/2006</w:t>
      </w:r>
      <w:r w:rsidRPr="00A01AA1">
        <w:t>,</w:t>
      </w:r>
    </w:p>
    <w:p w14:paraId="31B162A5" w14:textId="77777777" w:rsidR="00327183" w:rsidRPr="00A01AA1" w:rsidRDefault="00327183" w:rsidP="00CC2C3A">
      <w:pPr>
        <w:pStyle w:val="Formuledadoption"/>
      </w:pPr>
      <w:r w:rsidRPr="00A01AA1">
        <w:t>HAS ADOPTED THIS REGULATION:</w:t>
      </w:r>
    </w:p>
    <w:p w14:paraId="7D221C8B" w14:textId="77777777" w:rsidR="00327183" w:rsidRPr="00A01AA1" w:rsidRDefault="00327183" w:rsidP="00CC2C3A">
      <w:pPr>
        <w:pStyle w:val="Titrearticle"/>
      </w:pPr>
      <w:r w:rsidRPr="00A01AA1">
        <w:t>Article 1</w:t>
      </w:r>
    </w:p>
    <w:p w14:paraId="20AE0113" w14:textId="77777777" w:rsidR="00327183" w:rsidRPr="00A01AA1" w:rsidRDefault="000A5A0E" w:rsidP="00CC2C3A">
      <w:r w:rsidRPr="0041151D">
        <w:t>Annex XVII to Regulation (EC) No 1907/2006 is amended in accordance with the Annex to this Regulation.</w:t>
      </w:r>
    </w:p>
    <w:p w14:paraId="4E6C040D" w14:textId="77777777" w:rsidR="00327183" w:rsidRPr="00A01AA1" w:rsidRDefault="00327183" w:rsidP="00CC2C3A">
      <w:pPr>
        <w:pStyle w:val="Titrearticle"/>
      </w:pPr>
      <w:r w:rsidRPr="00A01AA1">
        <w:t xml:space="preserve">Article </w:t>
      </w:r>
      <w:r w:rsidR="000A5A0E">
        <w:t>2</w:t>
      </w:r>
    </w:p>
    <w:p w14:paraId="20E451DF" w14:textId="77777777" w:rsidR="00037895" w:rsidRPr="00A01AA1" w:rsidRDefault="00327183" w:rsidP="00CC2C3A">
      <w:r w:rsidRPr="00A01AA1">
        <w:t xml:space="preserve">This Regulation shall enter into force on the </w:t>
      </w:r>
      <w:r w:rsidR="000A5A0E">
        <w:t>twentieth</w:t>
      </w:r>
      <w:r w:rsidRPr="00A01AA1">
        <w:t xml:space="preserve"> day following that of its publication in the </w:t>
      </w:r>
      <w:r w:rsidRPr="00A01AA1">
        <w:rPr>
          <w:i/>
        </w:rPr>
        <w:t>Official Journal of the European Union</w:t>
      </w:r>
      <w:r w:rsidRPr="00A01AA1">
        <w:t>.</w:t>
      </w:r>
    </w:p>
    <w:p w14:paraId="7225A81B" w14:textId="77777777" w:rsidR="00327183" w:rsidRDefault="00327183" w:rsidP="00CC2C3A">
      <w:pPr>
        <w:pStyle w:val="Applicationdirecte"/>
      </w:pPr>
      <w:r w:rsidRPr="00A01AA1">
        <w:t>This Regulation shall be binding in its entirety and directly applicable in all Member States.</w:t>
      </w:r>
    </w:p>
    <w:p w14:paraId="29AF1AAE" w14:textId="77777777" w:rsidR="00E1168B" w:rsidRPr="00E1168B" w:rsidRDefault="000020B4" w:rsidP="000020B4">
      <w:pPr>
        <w:pStyle w:val="Fait"/>
      </w:pPr>
      <w:r w:rsidRPr="000020B4">
        <w:t>Done at Brussels,</w:t>
      </w:r>
    </w:p>
    <w:p w14:paraId="3D9F5D41" w14:textId="77777777" w:rsidR="00327183" w:rsidRDefault="00327183" w:rsidP="00327183">
      <w:pPr>
        <w:pStyle w:val="Institutionquisigne"/>
      </w:pPr>
      <w:r w:rsidRPr="00327183">
        <w:tab/>
        <w:t>For the Commission</w:t>
      </w:r>
    </w:p>
    <w:p w14:paraId="25C94A80" w14:textId="77777777" w:rsidR="00327183" w:rsidRPr="00327183" w:rsidRDefault="00327183" w:rsidP="00327183">
      <w:pPr>
        <w:pStyle w:val="Personnequisigne"/>
      </w:pPr>
      <w:r w:rsidRPr="00327183">
        <w:tab/>
        <w:t>The President</w:t>
      </w:r>
      <w:r w:rsidRPr="00327183">
        <w:br/>
      </w:r>
      <w:r w:rsidRPr="00327183">
        <w:tab/>
      </w:r>
      <w:r w:rsidR="00794600">
        <w:t>Ursula von der Leyen</w:t>
      </w:r>
      <w:r w:rsidRPr="00327183">
        <w:br/>
      </w:r>
      <w:r w:rsidR="007B6CFD">
        <w:tab/>
      </w:r>
    </w:p>
    <w:sectPr w:rsidR="00327183" w:rsidRPr="00327183" w:rsidSect="00F4180D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8307B" w16cid:durableId="21E3C4A1"/>
  <w16cid:commentId w16cid:paraId="0F86520C" w16cid:durableId="21E3C4A2"/>
  <w16cid:commentId w16cid:paraId="2ECFA3D1" w16cid:durableId="21E3C556"/>
  <w16cid:commentId w16cid:paraId="2F065E11" w16cid:durableId="21E3C4A3"/>
  <w16cid:commentId w16cid:paraId="30222445" w16cid:durableId="21E3C4F9"/>
  <w16cid:commentId w16cid:paraId="22538580" w16cid:durableId="21E3C4A4"/>
  <w16cid:commentId w16cid:paraId="7BF752B4" w16cid:durableId="21E3C50C"/>
  <w16cid:commentId w16cid:paraId="79353260" w16cid:durableId="21E3C4A5"/>
  <w16cid:commentId w16cid:paraId="08DA7388" w16cid:durableId="21E3C4A6"/>
  <w16cid:commentId w16cid:paraId="3F8ED630" w16cid:durableId="21E3C4A7"/>
  <w16cid:commentId w16cid:paraId="65BBC89A" w16cid:durableId="21E3C4A8"/>
  <w16cid:commentId w16cid:paraId="700B9BA0" w16cid:durableId="21E3C4A9"/>
  <w16cid:commentId w16cid:paraId="085E479C" w16cid:durableId="21E3C4AA"/>
  <w16cid:commentId w16cid:paraId="23EDD02A" w16cid:durableId="21E3C4AB"/>
  <w16cid:commentId w16cid:paraId="7557A057" w16cid:durableId="21E3C4AC"/>
  <w16cid:commentId w16cid:paraId="3DAF1594" w16cid:durableId="21E3C4AD"/>
  <w16cid:commentId w16cid:paraId="1C070F61" w16cid:durableId="21E3D4E4"/>
  <w16cid:commentId w16cid:paraId="00DB9EDE" w16cid:durableId="21E3C4AE"/>
  <w16cid:commentId w16cid:paraId="046A64CC" w16cid:durableId="21E3C4AF"/>
  <w16cid:commentId w16cid:paraId="00A997CB" w16cid:durableId="21E3C4B0"/>
  <w16cid:commentId w16cid:paraId="0530EFC5" w16cid:durableId="21E3C4B1"/>
  <w16cid:commentId w16cid:paraId="416B026E" w16cid:durableId="21E3C4B2"/>
  <w16cid:commentId w16cid:paraId="40CB3770" w16cid:durableId="21E3C4B3"/>
  <w16cid:commentId w16cid:paraId="03B7473C" w16cid:durableId="21E3C4B4"/>
  <w16cid:commentId w16cid:paraId="5B17F78D" w16cid:durableId="21E3C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8848" w14:textId="77777777" w:rsidR="000D00FD" w:rsidRDefault="000D00FD" w:rsidP="00327183">
      <w:pPr>
        <w:spacing w:before="0" w:after="0"/>
      </w:pPr>
      <w:r>
        <w:separator/>
      </w:r>
    </w:p>
  </w:endnote>
  <w:endnote w:type="continuationSeparator" w:id="0">
    <w:p w14:paraId="442F65C2" w14:textId="77777777" w:rsidR="000D00FD" w:rsidRDefault="000D00FD" w:rsidP="003271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841A" w14:textId="77777777" w:rsidR="00F4180D" w:rsidRPr="00F4180D" w:rsidRDefault="00F4180D" w:rsidP="00F41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8E32" w14:textId="40B088E1" w:rsidR="009749E4" w:rsidRPr="00F4180D" w:rsidRDefault="00F4180D" w:rsidP="00F4180D">
    <w:pPr>
      <w:pStyle w:val="Footer"/>
      <w:rPr>
        <w:rFonts w:ascii="Arial" w:hAnsi="Arial" w:cs="Arial"/>
        <w:b/>
        <w:sz w:val="48"/>
      </w:rPr>
    </w:pPr>
    <w:r w:rsidRPr="00F4180D">
      <w:rPr>
        <w:rFonts w:ascii="Arial" w:hAnsi="Arial" w:cs="Arial"/>
        <w:b/>
        <w:sz w:val="48"/>
      </w:rPr>
      <w:t>EN</w:t>
    </w:r>
    <w:r w:rsidRPr="00F4180D">
      <w:rPr>
        <w:rFonts w:ascii="Arial" w:hAnsi="Arial" w:cs="Arial"/>
        <w:b/>
        <w:sz w:val="48"/>
      </w:rPr>
      <w:tab/>
    </w:r>
    <w:r w:rsidRPr="00F4180D">
      <w:rPr>
        <w:rFonts w:ascii="Arial" w:hAnsi="Arial" w:cs="Arial"/>
        <w:b/>
        <w:sz w:val="48"/>
      </w:rPr>
      <w:tab/>
    </w:r>
    <w:r w:rsidRPr="00F4180D">
      <w:tab/>
    </w:r>
    <w:r w:rsidRPr="00F4180D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190E" w14:textId="77777777" w:rsidR="00F4180D" w:rsidRPr="00F4180D" w:rsidRDefault="00F4180D" w:rsidP="00F418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3DBD" w14:textId="198744E2" w:rsidR="00F4180D" w:rsidRPr="00F4180D" w:rsidRDefault="00F4180D" w:rsidP="00F4180D">
    <w:pPr>
      <w:pStyle w:val="Footer"/>
      <w:rPr>
        <w:rFonts w:ascii="Arial" w:hAnsi="Arial" w:cs="Arial"/>
        <w:b/>
        <w:sz w:val="48"/>
      </w:rPr>
    </w:pPr>
    <w:r w:rsidRPr="00F4180D">
      <w:rPr>
        <w:rFonts w:ascii="Arial" w:hAnsi="Arial" w:cs="Arial"/>
        <w:b/>
        <w:sz w:val="48"/>
      </w:rPr>
      <w:t>EN</w:t>
    </w:r>
    <w:r w:rsidRPr="00F4180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 w:rsidRPr="00F4180D">
      <w:tab/>
    </w:r>
    <w:r w:rsidRPr="00F4180D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21F8" w14:textId="77777777" w:rsidR="00F4180D" w:rsidRPr="00F4180D" w:rsidRDefault="00F4180D" w:rsidP="00F4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8C97" w14:textId="77777777" w:rsidR="000D00FD" w:rsidRDefault="000D00FD" w:rsidP="00327183">
      <w:pPr>
        <w:spacing w:before="0" w:after="0"/>
      </w:pPr>
      <w:r>
        <w:separator/>
      </w:r>
    </w:p>
  </w:footnote>
  <w:footnote w:type="continuationSeparator" w:id="0">
    <w:p w14:paraId="101606D5" w14:textId="77777777" w:rsidR="000D00FD" w:rsidRDefault="000D00FD" w:rsidP="00327183">
      <w:pPr>
        <w:spacing w:before="0" w:after="0"/>
      </w:pPr>
      <w:r>
        <w:continuationSeparator/>
      </w:r>
    </w:p>
  </w:footnote>
  <w:footnote w:id="1">
    <w:p w14:paraId="14B47580" w14:textId="77777777" w:rsidR="00CC2C3A" w:rsidRPr="003D7731" w:rsidRDefault="00CC2C3A" w:rsidP="00CC2C3A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 w:rsidRPr="003D7731">
        <w:rPr>
          <w:lang w:val="pl-PL"/>
        </w:rPr>
        <w:tab/>
        <w:t xml:space="preserve">OJ L 396, 30.12.2006, p. 1. </w:t>
      </w:r>
    </w:p>
  </w:footnote>
  <w:footnote w:id="2">
    <w:p w14:paraId="1FEB5516" w14:textId="0B991188" w:rsidR="001113DC" w:rsidRPr="007763E1" w:rsidRDefault="001113DC" w:rsidP="001113DC">
      <w:pPr>
        <w:pStyle w:val="FootnoteText"/>
      </w:pPr>
      <w:r w:rsidRPr="004A65C3">
        <w:rPr>
          <w:rStyle w:val="FootnoteReference"/>
        </w:rPr>
        <w:footnoteRef/>
      </w:r>
      <w:r>
        <w:tab/>
        <w:t>JRC</w:t>
      </w:r>
      <w:r w:rsidRPr="00C82B7C">
        <w:t xml:space="preserve"> Science for Policy report</w:t>
      </w:r>
      <w:r>
        <w:t xml:space="preserve"> </w:t>
      </w:r>
      <w:r w:rsidRPr="000A451D">
        <w:t>Safety of tattoos and permanent make-up: Final report</w:t>
      </w:r>
      <w:r>
        <w:t xml:space="preserve">, 2016 </w:t>
      </w:r>
      <w:hyperlink r:id="rId1" w:history="1">
        <w:r w:rsidRPr="001C6C08">
          <w:rPr>
            <w:rStyle w:val="Hyperlink"/>
          </w:rPr>
          <w:t>https://ec.europa.eu/jrc/en/publication/eur-scientific-and-technical-research-reports/safety-tattoos-and-permanent-make-final-report</w:t>
        </w:r>
      </w:hyperlink>
    </w:p>
  </w:footnote>
  <w:footnote w:id="3">
    <w:p w14:paraId="2587D778" w14:textId="77777777" w:rsidR="00CC2C3A" w:rsidRPr="0027252A" w:rsidRDefault="00CC2C3A">
      <w:pPr>
        <w:pStyle w:val="FootnoteText"/>
        <w:rPr>
          <w:lang w:val="en-IE"/>
        </w:rPr>
      </w:pPr>
      <w:r w:rsidRPr="004A65C3">
        <w:rPr>
          <w:rStyle w:val="FootnoteReference"/>
        </w:rPr>
        <w:footnoteRef/>
      </w:r>
      <w:r>
        <w:tab/>
      </w:r>
      <w:r w:rsidRPr="0000628F">
        <w:rPr>
          <w:lang w:val="en-IE"/>
        </w:rPr>
        <w:t>Directive 2001/95/EC of the European Parliament and of the Council of 3 December 2001 on general product safety</w:t>
      </w:r>
      <w:r>
        <w:rPr>
          <w:lang w:val="en-IE"/>
        </w:rPr>
        <w:t xml:space="preserve"> </w:t>
      </w:r>
      <w:r>
        <w:t>(</w:t>
      </w:r>
      <w:r w:rsidRPr="00302EFE">
        <w:rPr>
          <w:lang w:val="en-IE"/>
        </w:rPr>
        <w:t>OJ L 11, 15.1.2002, p. 4</w:t>
      </w:r>
      <w:r>
        <w:rPr>
          <w:lang w:val="en-IE"/>
        </w:rPr>
        <w:t>).</w:t>
      </w:r>
    </w:p>
  </w:footnote>
  <w:footnote w:id="4">
    <w:p w14:paraId="214CC035" w14:textId="770B1789" w:rsidR="00701F2D" w:rsidRPr="00701F2D" w:rsidRDefault="00701F2D">
      <w:pPr>
        <w:pStyle w:val="FootnoteText"/>
        <w:rPr>
          <w:lang w:val="en-IE"/>
        </w:rPr>
      </w:pPr>
      <w:r w:rsidRPr="00587FDC">
        <w:rPr>
          <w:rStyle w:val="FootnoteReference"/>
        </w:rPr>
        <w:footnoteRef/>
      </w:r>
      <w:r w:rsidR="00587FDC">
        <w:tab/>
      </w:r>
      <w:hyperlink r:id="rId2" w:history="1">
        <w:r w:rsidRPr="001C6C08">
          <w:rPr>
            <w:rStyle w:val="Hyperlink"/>
          </w:rPr>
          <w:t>h</w:t>
        </w:r>
        <w:r w:rsidRPr="001C6C08">
          <w:rPr>
            <w:rStyle w:val="Hyperlink"/>
            <w:lang w:val="en-IE"/>
          </w:rPr>
          <w:t>ttps://ec.europa.eu/consumers/consumers_safety/safety_products/rapex/alerts/repository/content/pages/rapex/index_en.htm</w:t>
        </w:r>
      </w:hyperlink>
    </w:p>
  </w:footnote>
  <w:footnote w:id="5">
    <w:p w14:paraId="72686FD7" w14:textId="33CC85F4" w:rsidR="008148D0" w:rsidRPr="00194A2B" w:rsidRDefault="008148D0" w:rsidP="008148D0">
      <w:pPr>
        <w:pStyle w:val="FootnoteText"/>
        <w:ind w:left="709" w:hanging="709"/>
      </w:pPr>
      <w:r w:rsidRPr="004A65C3">
        <w:rPr>
          <w:rStyle w:val="FootnoteReference"/>
        </w:rPr>
        <w:footnoteRef/>
      </w:r>
      <w:r>
        <w:tab/>
      </w:r>
      <w:r w:rsidRPr="00935ECC">
        <w:t xml:space="preserve">Council of Europe </w:t>
      </w:r>
      <w:r>
        <w:t xml:space="preserve">Resolution </w:t>
      </w:r>
      <w:r w:rsidRPr="00935ECC">
        <w:t>ResAP (2003)2</w:t>
      </w:r>
      <w:r>
        <w:t xml:space="preserve"> </w:t>
      </w:r>
      <w:r w:rsidRPr="00E90FD6">
        <w:t>on tattoos and permanent make-up</w:t>
      </w:r>
      <w:r>
        <w:t>, a</w:t>
      </w:r>
      <w:r w:rsidRPr="00194A2B">
        <w:t>dopted by the Committee of Ministers on 19 June 2003 at the  844th meeting of the Ministers’ Deputies</w:t>
      </w:r>
      <w:r w:rsidR="00701F2D">
        <w:t>-</w:t>
      </w:r>
      <w:r w:rsidR="00701F2D" w:rsidRPr="00701F2D">
        <w:t xml:space="preserve"> </w:t>
      </w:r>
      <w:hyperlink r:id="rId3" w:history="1">
        <w:r w:rsidR="00701F2D" w:rsidRPr="001C6C08">
          <w:rPr>
            <w:rStyle w:val="Hyperlink"/>
          </w:rPr>
          <w:t>http://www.ctl-tattoo.net/Documents/PDF/eu_resap_2003_2.pdf</w:t>
        </w:r>
      </w:hyperlink>
    </w:p>
  </w:footnote>
  <w:footnote w:id="6">
    <w:p w14:paraId="6B5B9A66" w14:textId="5A0A78AC" w:rsidR="00CC2C3A" w:rsidRPr="00194A2B" w:rsidRDefault="00CC2C3A" w:rsidP="004724E5">
      <w:pPr>
        <w:pStyle w:val="FootnoteText"/>
        <w:jc w:val="left"/>
      </w:pPr>
      <w:r w:rsidRPr="004A65C3">
        <w:rPr>
          <w:rStyle w:val="FootnoteReference"/>
        </w:rPr>
        <w:footnoteRef/>
      </w:r>
      <w:r>
        <w:tab/>
        <w:t>Council of Europe Resolution ResAP(2008)1 on requirements and criteria for the safety of tattoos and permanent make-up (superseding Resolution ResAP(2003)2 on tattoos and permanent make-up), a</w:t>
      </w:r>
      <w:r w:rsidRPr="00194A2B">
        <w:t>dopted by the Committee of Ministers on 20 February 2008 at the 1018th meeting of the</w:t>
      </w:r>
      <w:r>
        <w:t xml:space="preserve"> Ministers’ </w:t>
      </w:r>
      <w:hyperlink r:id="rId4" w:history="1">
        <w:r w:rsidRPr="001C6C08">
          <w:rPr>
            <w:rStyle w:val="Hyperlink"/>
          </w:rPr>
          <w:t xml:space="preserve">Deputies </w:t>
        </w:r>
        <w:r w:rsidR="00701F2D" w:rsidRPr="001C6C08">
          <w:rPr>
            <w:rStyle w:val="Hyperlink"/>
          </w:rPr>
          <w:t>- https://rm.coe.int/16805d3dc4</w:t>
        </w:r>
      </w:hyperlink>
    </w:p>
  </w:footnote>
  <w:footnote w:id="7">
    <w:p w14:paraId="343F27DA" w14:textId="42145107" w:rsidR="00056D68" w:rsidRPr="00056D68" w:rsidRDefault="00056D68">
      <w:pPr>
        <w:pStyle w:val="FootnoteText"/>
      </w:pPr>
      <w:r w:rsidRPr="00587FDC">
        <w:rPr>
          <w:rStyle w:val="FootnoteReference"/>
        </w:rPr>
        <w:footnoteRef/>
      </w:r>
      <w:r w:rsidR="00587FDC">
        <w:tab/>
      </w:r>
      <w:r>
        <w:t xml:space="preserve">Belgium, France, Germany, </w:t>
      </w:r>
      <w:r w:rsidR="00DC1F77">
        <w:t>t</w:t>
      </w:r>
      <w:r>
        <w:t xml:space="preserve">he Netherlands, </w:t>
      </w:r>
      <w:r w:rsidR="00DC1F77" w:rsidRPr="00DC1F77">
        <w:t>Slovenia</w:t>
      </w:r>
      <w:r w:rsidR="00DC1F77">
        <w:t>,</w:t>
      </w:r>
      <w:r w:rsidR="00DC1F77" w:rsidRPr="00DC1F77">
        <w:t xml:space="preserve"> </w:t>
      </w:r>
      <w:r>
        <w:t>Spain</w:t>
      </w:r>
      <w:r w:rsidR="00DC1F77">
        <w:t xml:space="preserve"> and</w:t>
      </w:r>
      <w:r>
        <w:t xml:space="preserve"> Sweden</w:t>
      </w:r>
      <w:r w:rsidR="00DC1F77">
        <w:t>.</w:t>
      </w:r>
    </w:p>
  </w:footnote>
  <w:footnote w:id="8">
    <w:p w14:paraId="75E8A624" w14:textId="501827C1" w:rsidR="00E771A8" w:rsidRPr="00E771A8" w:rsidRDefault="00E771A8">
      <w:pPr>
        <w:pStyle w:val="FootnoteText"/>
      </w:pPr>
      <w:r w:rsidRPr="00587FDC">
        <w:rPr>
          <w:rStyle w:val="FootnoteReference"/>
        </w:rPr>
        <w:footnoteRef/>
      </w:r>
      <w:r w:rsidR="00587FDC">
        <w:tab/>
      </w:r>
      <w:r w:rsidR="00E43434">
        <w:t xml:space="preserve">Annex XV </w:t>
      </w:r>
      <w:r w:rsidR="009A4FB0">
        <w:t xml:space="preserve">restriction </w:t>
      </w:r>
      <w:r w:rsidR="00E43434">
        <w:t>report-proposal for a restriction: substances in tattoo inks and permanent make up- October 2017-ECHA with Denmark, Italy and Norway-</w:t>
      </w:r>
      <w:hyperlink r:id="rId5" w:history="1">
        <w:r w:rsidR="000D0482" w:rsidRPr="00E43434">
          <w:rPr>
            <w:rStyle w:val="Hyperlink"/>
          </w:rPr>
          <w:t>https://echa.europa.eu/documents/10162/6f739150-39db-7e2c-d07d-caf8fb81d153</w:t>
        </w:r>
      </w:hyperlink>
      <w:r w:rsidR="00E43434">
        <w:t xml:space="preserve"> </w:t>
      </w:r>
    </w:p>
  </w:footnote>
  <w:footnote w:id="9">
    <w:p w14:paraId="793AAC02" w14:textId="0093AD54" w:rsidR="00CC2C3A" w:rsidRPr="004B0384" w:rsidRDefault="00CC2C3A" w:rsidP="00AE1EC4">
      <w:pPr>
        <w:pStyle w:val="FootnoteText"/>
        <w:rPr>
          <w:lang w:val="lt-LT"/>
        </w:rPr>
      </w:pPr>
      <w:r w:rsidRPr="00587FDC">
        <w:rPr>
          <w:rStyle w:val="FootnoteReference"/>
        </w:rPr>
        <w:footnoteRef/>
      </w:r>
      <w:r w:rsidR="00587FDC">
        <w:tab/>
      </w:r>
      <w:r w:rsidRPr="004B0384">
        <w:t xml:space="preserve">Regulation (EC) No 1272/2008 of the European Parliament and of the Council of 16 December 2008 on classification, labelling and packaging of substances and mixtures, amending and repealing Directives 67/548/EEC and 1999/45/EC, and amending Regulation (EC) No 1907/2006 </w:t>
      </w:r>
      <w:r>
        <w:t>(</w:t>
      </w:r>
      <w:r w:rsidRPr="00945EDB">
        <w:t>OJ L 353, 31.12.2008, p. 1</w:t>
      </w:r>
      <w:r>
        <w:t>).</w:t>
      </w:r>
    </w:p>
  </w:footnote>
  <w:footnote w:id="10">
    <w:p w14:paraId="5AE5CF85" w14:textId="77777777" w:rsidR="00CC2C3A" w:rsidRPr="007763E1" w:rsidRDefault="00CC2C3A">
      <w:pPr>
        <w:pStyle w:val="FootnoteText"/>
      </w:pPr>
      <w:r w:rsidRPr="004A65C3">
        <w:rPr>
          <w:rStyle w:val="FootnoteReference"/>
        </w:rPr>
        <w:footnoteRef/>
      </w:r>
      <w:r>
        <w:tab/>
      </w:r>
      <w:r w:rsidRPr="00DC377F">
        <w:t>Regulation (EC)</w:t>
      </w:r>
      <w:r w:rsidRPr="006D5ED2">
        <w:t xml:space="preserve"> No 1223/2009 of the European Pa</w:t>
      </w:r>
      <w:r w:rsidRPr="00DC377F">
        <w:t>rliament and of the Council of 30 November 2009</w:t>
      </w:r>
      <w:r w:rsidRPr="001261E7">
        <w:t xml:space="preserve"> on cosmetic products</w:t>
      </w:r>
      <w:r w:rsidRPr="00DC377F">
        <w:t xml:space="preserve"> </w:t>
      </w:r>
      <w:r>
        <w:t>(</w:t>
      </w:r>
      <w:r w:rsidRPr="007763E1">
        <w:t>OJ L 342, 22.12.2009, p. 59).</w:t>
      </w:r>
    </w:p>
  </w:footnote>
  <w:footnote w:id="11">
    <w:p w14:paraId="3D5718D4" w14:textId="77777777" w:rsidR="00CC2C3A" w:rsidRPr="007763E1" w:rsidRDefault="00CC2C3A" w:rsidP="007B6CFD">
      <w:pPr>
        <w:pStyle w:val="FootnoteText"/>
      </w:pPr>
      <w:r>
        <w:rPr>
          <w:rStyle w:val="FootnoteReference"/>
        </w:rPr>
        <w:footnoteRef/>
      </w:r>
      <w:r w:rsidRPr="007763E1">
        <w:tab/>
      </w:r>
      <w:r w:rsidR="00EE252A" w:rsidRPr="00EE252A">
        <w:t xml:space="preserve">Compiled version prepared by the </w:t>
      </w:r>
      <w:r w:rsidR="00997771">
        <w:t>ECH</w:t>
      </w:r>
      <w:r w:rsidR="00EE252A" w:rsidRPr="00EE252A">
        <w:t>A Secretariat of RAC's opinion (adopted 20 November 2018) and SEAC's opinion (adopted 15 March 2019)</w:t>
      </w:r>
      <w:r w:rsidR="00EE252A">
        <w:t xml:space="preserve"> </w:t>
      </w:r>
      <w:r w:rsidRPr="007763E1">
        <w:rPr>
          <w:rStyle w:val="Hyperlink"/>
        </w:rPr>
        <w:t>https://echa.europa.eu/documents/10162/dc3d6ea4-df3f-f53d-eff0-540ff3a5b1a0</w:t>
      </w:r>
    </w:p>
  </w:footnote>
  <w:footnote w:id="12">
    <w:p w14:paraId="51604BFD" w14:textId="436B2A5C" w:rsidR="00065965" w:rsidRPr="00237E1D" w:rsidRDefault="00065965" w:rsidP="00065965">
      <w:pPr>
        <w:pStyle w:val="FootnoteText"/>
      </w:pPr>
      <w:r w:rsidRPr="00587FDC">
        <w:rPr>
          <w:rStyle w:val="FootnoteReference"/>
        </w:rPr>
        <w:footnoteRef/>
      </w:r>
      <w:r w:rsidR="00587FDC">
        <w:tab/>
      </w:r>
      <w:r>
        <w:t xml:space="preserve">Regulation </w:t>
      </w:r>
      <w:r w:rsidRPr="00237E1D">
        <w:t xml:space="preserve"> (EU) 2017/745 </w:t>
      </w:r>
      <w:r>
        <w:t xml:space="preserve">of the European parliament and the Council </w:t>
      </w:r>
      <w:r w:rsidRPr="00237E1D">
        <w:t xml:space="preserve"> of 5 April 2017 on medical devices, amending Directive 2001/83/EC, Regulation (EC) No 178/2002 and Regulation (EC) No 1223/2009 and repealing Council Directives 90/385/EEC and 93/42/EEC</w:t>
      </w:r>
      <w:r>
        <w:t xml:space="preserve"> </w:t>
      </w:r>
      <w:r w:rsidRPr="00237E1D">
        <w:t>(OJ L 117, 5.5.2017, p.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0514" w14:textId="77777777" w:rsidR="00F4180D" w:rsidRPr="00F4180D" w:rsidRDefault="00F4180D" w:rsidP="00F4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89A3" w14:textId="77777777" w:rsidR="00F4180D" w:rsidRPr="00F4180D" w:rsidRDefault="00F4180D" w:rsidP="00F41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7A64" w14:textId="77777777" w:rsidR="00F4180D" w:rsidRPr="00F4180D" w:rsidRDefault="00F4180D" w:rsidP="00F4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5826B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16275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D32EE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A22A0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B9A3B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B3C18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E5EF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73C8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QCDateTime" w:val="2020-06-24 11:36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VERPAGE_EXISTS" w:val="True"/>
    <w:docVar w:name="LW_COVERPAGE_GUID" w:val="485E9359-F4F3-4798-B3A7-DFA0985F33B1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&lt;EMPTY&gt;"/>
    <w:docVar w:name="LW_ID_DOCMODEL" w:val="SJ-001"/>
    <w:docVar w:name="LW_ID_DOCSIGNATURE" w:val="SJ-001"/>
    <w:docVar w:name="LW_ID_DOCSTRUCTURE" w:val="COM/AA"/>
    <w:docVar w:name="LW_ID_DOCTYPE" w:val="SJ-001"/>
    <w:docVar w:name="LW_INTERETEEE" w:val="(Text with EEA relevance)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0) XXX"/>
    <w:docVar w:name="LW_REF.INTERNE" w:val="D066997/03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" w:val="amending Annex XVII to Regulation (EC) No 1907/2006 of the European Parliament and of the Council concerning the Registration, Evaluation, Authorisation and Restriction of Chemicals (REACH) as regards substances in tattoo inks or permanent make-up"/>
    <w:docVar w:name="LW_TITRE.OBJ.CP" w:val="amending Annex XVII to Regulation (EC) No 1907/2006 of the European Parliament and of the Council concerning the Registration, Evaluation, Authorisation and Restriction of Chemicals (REACH) as regards substances in tattoo inks or permanent make-up"/>
    <w:docVar w:name="LW_TYPE.DOC" w:val="COMMISSION REGULATION (EU) \u8230?/\u8230?"/>
    <w:docVar w:name="LW_TYPE.DOC.CP" w:val="COMMISSION REGULATION (EU) \u8230?/\u8230?"/>
  </w:docVars>
  <w:rsids>
    <w:rsidRoot w:val="00327183"/>
    <w:rsid w:val="00000E86"/>
    <w:rsid w:val="000020B4"/>
    <w:rsid w:val="00002A03"/>
    <w:rsid w:val="000034AC"/>
    <w:rsid w:val="00003C9B"/>
    <w:rsid w:val="00004B0E"/>
    <w:rsid w:val="000059F3"/>
    <w:rsid w:val="0000628F"/>
    <w:rsid w:val="00006E98"/>
    <w:rsid w:val="00007A9E"/>
    <w:rsid w:val="00007EEB"/>
    <w:rsid w:val="00010551"/>
    <w:rsid w:val="00010FD9"/>
    <w:rsid w:val="000121FE"/>
    <w:rsid w:val="00022755"/>
    <w:rsid w:val="00024E40"/>
    <w:rsid w:val="000303F8"/>
    <w:rsid w:val="000319C6"/>
    <w:rsid w:val="00033916"/>
    <w:rsid w:val="000352FA"/>
    <w:rsid w:val="00035DB8"/>
    <w:rsid w:val="00037895"/>
    <w:rsid w:val="00043339"/>
    <w:rsid w:val="00043D0C"/>
    <w:rsid w:val="00045000"/>
    <w:rsid w:val="000450A1"/>
    <w:rsid w:val="00046B5A"/>
    <w:rsid w:val="00050BC5"/>
    <w:rsid w:val="00051719"/>
    <w:rsid w:val="000524C4"/>
    <w:rsid w:val="0005446F"/>
    <w:rsid w:val="0005688C"/>
    <w:rsid w:val="00056D68"/>
    <w:rsid w:val="0006266F"/>
    <w:rsid w:val="00063E78"/>
    <w:rsid w:val="00065965"/>
    <w:rsid w:val="00065C4F"/>
    <w:rsid w:val="00066C19"/>
    <w:rsid w:val="00071862"/>
    <w:rsid w:val="00072B91"/>
    <w:rsid w:val="00075F84"/>
    <w:rsid w:val="000844D4"/>
    <w:rsid w:val="00085D5A"/>
    <w:rsid w:val="00086EF6"/>
    <w:rsid w:val="000901E3"/>
    <w:rsid w:val="0009092B"/>
    <w:rsid w:val="00090BA8"/>
    <w:rsid w:val="00090BAF"/>
    <w:rsid w:val="000923E6"/>
    <w:rsid w:val="000925F6"/>
    <w:rsid w:val="000A031B"/>
    <w:rsid w:val="000A321C"/>
    <w:rsid w:val="000A451D"/>
    <w:rsid w:val="000A52C9"/>
    <w:rsid w:val="000A553E"/>
    <w:rsid w:val="000A5A0E"/>
    <w:rsid w:val="000A63A8"/>
    <w:rsid w:val="000A649B"/>
    <w:rsid w:val="000B3C33"/>
    <w:rsid w:val="000B3CC1"/>
    <w:rsid w:val="000B4416"/>
    <w:rsid w:val="000B7414"/>
    <w:rsid w:val="000C3F40"/>
    <w:rsid w:val="000C75EF"/>
    <w:rsid w:val="000C7C04"/>
    <w:rsid w:val="000D00FD"/>
    <w:rsid w:val="000D0482"/>
    <w:rsid w:val="000D155E"/>
    <w:rsid w:val="000D19AB"/>
    <w:rsid w:val="000D1D3D"/>
    <w:rsid w:val="000D2281"/>
    <w:rsid w:val="000D57AF"/>
    <w:rsid w:val="000D684D"/>
    <w:rsid w:val="000D7567"/>
    <w:rsid w:val="000D77E1"/>
    <w:rsid w:val="000D7F1F"/>
    <w:rsid w:val="000E2B33"/>
    <w:rsid w:val="000E308B"/>
    <w:rsid w:val="000E77A2"/>
    <w:rsid w:val="000E7ECC"/>
    <w:rsid w:val="000F579E"/>
    <w:rsid w:val="00101554"/>
    <w:rsid w:val="00104AB8"/>
    <w:rsid w:val="0010791D"/>
    <w:rsid w:val="00110DBB"/>
    <w:rsid w:val="001113DC"/>
    <w:rsid w:val="00116B1C"/>
    <w:rsid w:val="00116C0F"/>
    <w:rsid w:val="00124104"/>
    <w:rsid w:val="00125289"/>
    <w:rsid w:val="001261E7"/>
    <w:rsid w:val="0013161A"/>
    <w:rsid w:val="001329E9"/>
    <w:rsid w:val="001362F9"/>
    <w:rsid w:val="00137B0E"/>
    <w:rsid w:val="0014032F"/>
    <w:rsid w:val="00140E37"/>
    <w:rsid w:val="00141FE4"/>
    <w:rsid w:val="00142343"/>
    <w:rsid w:val="001458A7"/>
    <w:rsid w:val="00146725"/>
    <w:rsid w:val="00146DA2"/>
    <w:rsid w:val="00146E3E"/>
    <w:rsid w:val="001539DE"/>
    <w:rsid w:val="001544E6"/>
    <w:rsid w:val="00155AC5"/>
    <w:rsid w:val="001564EF"/>
    <w:rsid w:val="0016165F"/>
    <w:rsid w:val="00161FF1"/>
    <w:rsid w:val="00162B26"/>
    <w:rsid w:val="00162F26"/>
    <w:rsid w:val="001650F0"/>
    <w:rsid w:val="00165FC9"/>
    <w:rsid w:val="00167FFA"/>
    <w:rsid w:val="00170324"/>
    <w:rsid w:val="00171646"/>
    <w:rsid w:val="00172D1F"/>
    <w:rsid w:val="001807BC"/>
    <w:rsid w:val="00184637"/>
    <w:rsid w:val="001927E7"/>
    <w:rsid w:val="0019333C"/>
    <w:rsid w:val="00194A2B"/>
    <w:rsid w:val="00195B0B"/>
    <w:rsid w:val="00195BA9"/>
    <w:rsid w:val="00196FD8"/>
    <w:rsid w:val="001A069F"/>
    <w:rsid w:val="001A31F2"/>
    <w:rsid w:val="001A41F3"/>
    <w:rsid w:val="001A4599"/>
    <w:rsid w:val="001A6323"/>
    <w:rsid w:val="001A64FA"/>
    <w:rsid w:val="001B2BE2"/>
    <w:rsid w:val="001B3AAD"/>
    <w:rsid w:val="001B681F"/>
    <w:rsid w:val="001C0887"/>
    <w:rsid w:val="001C2061"/>
    <w:rsid w:val="001C42FE"/>
    <w:rsid w:val="001C53A0"/>
    <w:rsid w:val="001C66A0"/>
    <w:rsid w:val="001C6C08"/>
    <w:rsid w:val="001C7176"/>
    <w:rsid w:val="001D0E14"/>
    <w:rsid w:val="001D57C7"/>
    <w:rsid w:val="001D734E"/>
    <w:rsid w:val="001E015E"/>
    <w:rsid w:val="001E38AB"/>
    <w:rsid w:val="001E5CB3"/>
    <w:rsid w:val="001E70A8"/>
    <w:rsid w:val="001F19B9"/>
    <w:rsid w:val="001F5347"/>
    <w:rsid w:val="002017B7"/>
    <w:rsid w:val="00202875"/>
    <w:rsid w:val="0020307C"/>
    <w:rsid w:val="00210E1F"/>
    <w:rsid w:val="002134DE"/>
    <w:rsid w:val="00214228"/>
    <w:rsid w:val="00215D85"/>
    <w:rsid w:val="00217603"/>
    <w:rsid w:val="002176A3"/>
    <w:rsid w:val="00217A7B"/>
    <w:rsid w:val="00217BF0"/>
    <w:rsid w:val="00221C6E"/>
    <w:rsid w:val="00222F90"/>
    <w:rsid w:val="00226878"/>
    <w:rsid w:val="002271A7"/>
    <w:rsid w:val="00227404"/>
    <w:rsid w:val="00232167"/>
    <w:rsid w:val="00232F60"/>
    <w:rsid w:val="00234B58"/>
    <w:rsid w:val="00237E1D"/>
    <w:rsid w:val="002414D4"/>
    <w:rsid w:val="00252978"/>
    <w:rsid w:val="00261D3D"/>
    <w:rsid w:val="0026223B"/>
    <w:rsid w:val="002623B1"/>
    <w:rsid w:val="00264B75"/>
    <w:rsid w:val="0026548C"/>
    <w:rsid w:val="00266128"/>
    <w:rsid w:val="00266B13"/>
    <w:rsid w:val="00267377"/>
    <w:rsid w:val="00270F3F"/>
    <w:rsid w:val="002711ED"/>
    <w:rsid w:val="0027252A"/>
    <w:rsid w:val="002732D3"/>
    <w:rsid w:val="00274D85"/>
    <w:rsid w:val="00275D53"/>
    <w:rsid w:val="00277F88"/>
    <w:rsid w:val="002807F4"/>
    <w:rsid w:val="0028327D"/>
    <w:rsid w:val="002832D6"/>
    <w:rsid w:val="002834F6"/>
    <w:rsid w:val="00283697"/>
    <w:rsid w:val="0028460D"/>
    <w:rsid w:val="002859CA"/>
    <w:rsid w:val="00286AC9"/>
    <w:rsid w:val="00287FA4"/>
    <w:rsid w:val="002900B0"/>
    <w:rsid w:val="00292901"/>
    <w:rsid w:val="00292B48"/>
    <w:rsid w:val="00292F70"/>
    <w:rsid w:val="00296B20"/>
    <w:rsid w:val="002A1888"/>
    <w:rsid w:val="002A1EA3"/>
    <w:rsid w:val="002A2A00"/>
    <w:rsid w:val="002A34DB"/>
    <w:rsid w:val="002A6DDD"/>
    <w:rsid w:val="002B14FD"/>
    <w:rsid w:val="002B1EB3"/>
    <w:rsid w:val="002B214D"/>
    <w:rsid w:val="002B39B3"/>
    <w:rsid w:val="002B3EBC"/>
    <w:rsid w:val="002B4368"/>
    <w:rsid w:val="002C0C3E"/>
    <w:rsid w:val="002C16AB"/>
    <w:rsid w:val="002C3C82"/>
    <w:rsid w:val="002C42EB"/>
    <w:rsid w:val="002C4F9D"/>
    <w:rsid w:val="002C5B6F"/>
    <w:rsid w:val="002C649B"/>
    <w:rsid w:val="002C6876"/>
    <w:rsid w:val="002C6C13"/>
    <w:rsid w:val="002C6CE0"/>
    <w:rsid w:val="002D016B"/>
    <w:rsid w:val="002D48C6"/>
    <w:rsid w:val="002D6AF3"/>
    <w:rsid w:val="002E1327"/>
    <w:rsid w:val="002E3EB9"/>
    <w:rsid w:val="002E476B"/>
    <w:rsid w:val="002E5D97"/>
    <w:rsid w:val="002E637B"/>
    <w:rsid w:val="002E653F"/>
    <w:rsid w:val="002E7574"/>
    <w:rsid w:val="002E7D0C"/>
    <w:rsid w:val="002F005C"/>
    <w:rsid w:val="002F18B0"/>
    <w:rsid w:val="002F7156"/>
    <w:rsid w:val="002F7943"/>
    <w:rsid w:val="003010D3"/>
    <w:rsid w:val="003012DA"/>
    <w:rsid w:val="00302DD5"/>
    <w:rsid w:val="00302EFE"/>
    <w:rsid w:val="00303861"/>
    <w:rsid w:val="00306E64"/>
    <w:rsid w:val="00307A9D"/>
    <w:rsid w:val="00311A1C"/>
    <w:rsid w:val="0031699B"/>
    <w:rsid w:val="00321BC4"/>
    <w:rsid w:val="00322315"/>
    <w:rsid w:val="00326380"/>
    <w:rsid w:val="00327183"/>
    <w:rsid w:val="003307BA"/>
    <w:rsid w:val="00330AA6"/>
    <w:rsid w:val="003316C4"/>
    <w:rsid w:val="003338D2"/>
    <w:rsid w:val="00336974"/>
    <w:rsid w:val="003379CA"/>
    <w:rsid w:val="00337E12"/>
    <w:rsid w:val="003406D0"/>
    <w:rsid w:val="00342CD5"/>
    <w:rsid w:val="00345528"/>
    <w:rsid w:val="00351365"/>
    <w:rsid w:val="00352527"/>
    <w:rsid w:val="003532A7"/>
    <w:rsid w:val="00354F83"/>
    <w:rsid w:val="00357360"/>
    <w:rsid w:val="003573F4"/>
    <w:rsid w:val="003640CF"/>
    <w:rsid w:val="003655F0"/>
    <w:rsid w:val="00373153"/>
    <w:rsid w:val="0037361F"/>
    <w:rsid w:val="00374B7E"/>
    <w:rsid w:val="00376040"/>
    <w:rsid w:val="00376933"/>
    <w:rsid w:val="00377DC4"/>
    <w:rsid w:val="003805B1"/>
    <w:rsid w:val="00381EF6"/>
    <w:rsid w:val="00383007"/>
    <w:rsid w:val="00392335"/>
    <w:rsid w:val="00394E16"/>
    <w:rsid w:val="003979D6"/>
    <w:rsid w:val="00397DAA"/>
    <w:rsid w:val="00397E04"/>
    <w:rsid w:val="003A0FD1"/>
    <w:rsid w:val="003A266F"/>
    <w:rsid w:val="003A26B7"/>
    <w:rsid w:val="003A312B"/>
    <w:rsid w:val="003A42A6"/>
    <w:rsid w:val="003A5A6D"/>
    <w:rsid w:val="003A61EC"/>
    <w:rsid w:val="003A7C63"/>
    <w:rsid w:val="003B0D42"/>
    <w:rsid w:val="003B26E3"/>
    <w:rsid w:val="003B2E27"/>
    <w:rsid w:val="003C06D0"/>
    <w:rsid w:val="003C18B8"/>
    <w:rsid w:val="003C486E"/>
    <w:rsid w:val="003C64F5"/>
    <w:rsid w:val="003C6A2A"/>
    <w:rsid w:val="003C75AA"/>
    <w:rsid w:val="003D00FB"/>
    <w:rsid w:val="003D040E"/>
    <w:rsid w:val="003D1891"/>
    <w:rsid w:val="003D5A1D"/>
    <w:rsid w:val="003D6906"/>
    <w:rsid w:val="003D7731"/>
    <w:rsid w:val="003E1015"/>
    <w:rsid w:val="003E21A5"/>
    <w:rsid w:val="003E7527"/>
    <w:rsid w:val="003E7A54"/>
    <w:rsid w:val="003E7C82"/>
    <w:rsid w:val="003F1726"/>
    <w:rsid w:val="003F3C47"/>
    <w:rsid w:val="003F4DBB"/>
    <w:rsid w:val="003F7368"/>
    <w:rsid w:val="00401696"/>
    <w:rsid w:val="0041151D"/>
    <w:rsid w:val="00413629"/>
    <w:rsid w:val="004200F3"/>
    <w:rsid w:val="004218BB"/>
    <w:rsid w:val="004239D0"/>
    <w:rsid w:val="00423B3A"/>
    <w:rsid w:val="00426905"/>
    <w:rsid w:val="00430B7F"/>
    <w:rsid w:val="00435C9F"/>
    <w:rsid w:val="004369AD"/>
    <w:rsid w:val="00440A5C"/>
    <w:rsid w:val="00442AE4"/>
    <w:rsid w:val="00445E5F"/>
    <w:rsid w:val="00447368"/>
    <w:rsid w:val="0045099E"/>
    <w:rsid w:val="00451648"/>
    <w:rsid w:val="00452680"/>
    <w:rsid w:val="00457C95"/>
    <w:rsid w:val="0046225C"/>
    <w:rsid w:val="00465012"/>
    <w:rsid w:val="00465590"/>
    <w:rsid w:val="00466138"/>
    <w:rsid w:val="00471738"/>
    <w:rsid w:val="004724E5"/>
    <w:rsid w:val="0047359C"/>
    <w:rsid w:val="004749F6"/>
    <w:rsid w:val="004755E0"/>
    <w:rsid w:val="004806F1"/>
    <w:rsid w:val="00483118"/>
    <w:rsid w:val="00484D07"/>
    <w:rsid w:val="00485697"/>
    <w:rsid w:val="0049165B"/>
    <w:rsid w:val="004948CE"/>
    <w:rsid w:val="00496EFD"/>
    <w:rsid w:val="004A1E53"/>
    <w:rsid w:val="004A2F01"/>
    <w:rsid w:val="004A4073"/>
    <w:rsid w:val="004A65C3"/>
    <w:rsid w:val="004A6B02"/>
    <w:rsid w:val="004B0556"/>
    <w:rsid w:val="004B366B"/>
    <w:rsid w:val="004B7934"/>
    <w:rsid w:val="004C0C97"/>
    <w:rsid w:val="004C13AC"/>
    <w:rsid w:val="004C1922"/>
    <w:rsid w:val="004C3D10"/>
    <w:rsid w:val="004C6895"/>
    <w:rsid w:val="004D36F9"/>
    <w:rsid w:val="004D4527"/>
    <w:rsid w:val="004D5C70"/>
    <w:rsid w:val="004D73A6"/>
    <w:rsid w:val="004D7BF8"/>
    <w:rsid w:val="004E005F"/>
    <w:rsid w:val="004E44DC"/>
    <w:rsid w:val="004E50D3"/>
    <w:rsid w:val="004E5A82"/>
    <w:rsid w:val="004E5AC5"/>
    <w:rsid w:val="004E7E67"/>
    <w:rsid w:val="004F5835"/>
    <w:rsid w:val="004F72AC"/>
    <w:rsid w:val="00502D2E"/>
    <w:rsid w:val="00503461"/>
    <w:rsid w:val="00510108"/>
    <w:rsid w:val="00510760"/>
    <w:rsid w:val="00510B87"/>
    <w:rsid w:val="00510E40"/>
    <w:rsid w:val="00511108"/>
    <w:rsid w:val="005125B9"/>
    <w:rsid w:val="00515641"/>
    <w:rsid w:val="005200A9"/>
    <w:rsid w:val="0052317B"/>
    <w:rsid w:val="00523694"/>
    <w:rsid w:val="0053298F"/>
    <w:rsid w:val="00534812"/>
    <w:rsid w:val="005410BD"/>
    <w:rsid w:val="005417FB"/>
    <w:rsid w:val="005423D2"/>
    <w:rsid w:val="0054311E"/>
    <w:rsid w:val="0054322E"/>
    <w:rsid w:val="005438FB"/>
    <w:rsid w:val="00545DBF"/>
    <w:rsid w:val="0055338B"/>
    <w:rsid w:val="00553DBC"/>
    <w:rsid w:val="00554598"/>
    <w:rsid w:val="00556B97"/>
    <w:rsid w:val="005615F5"/>
    <w:rsid w:val="005636A4"/>
    <w:rsid w:val="00567438"/>
    <w:rsid w:val="00581CF5"/>
    <w:rsid w:val="00582BC7"/>
    <w:rsid w:val="005844DF"/>
    <w:rsid w:val="00587EED"/>
    <w:rsid w:val="00587FDC"/>
    <w:rsid w:val="00591215"/>
    <w:rsid w:val="0059156B"/>
    <w:rsid w:val="00595BAD"/>
    <w:rsid w:val="005A00D1"/>
    <w:rsid w:val="005A06AC"/>
    <w:rsid w:val="005A3234"/>
    <w:rsid w:val="005A6A89"/>
    <w:rsid w:val="005A760C"/>
    <w:rsid w:val="005B005B"/>
    <w:rsid w:val="005B06DE"/>
    <w:rsid w:val="005B1250"/>
    <w:rsid w:val="005B3FB7"/>
    <w:rsid w:val="005B49B8"/>
    <w:rsid w:val="005B7CB5"/>
    <w:rsid w:val="005C3470"/>
    <w:rsid w:val="005C4EE0"/>
    <w:rsid w:val="005C55BF"/>
    <w:rsid w:val="005D21A9"/>
    <w:rsid w:val="005D5717"/>
    <w:rsid w:val="005D7F55"/>
    <w:rsid w:val="005E205D"/>
    <w:rsid w:val="005E26CC"/>
    <w:rsid w:val="005E3F6A"/>
    <w:rsid w:val="005E4D1B"/>
    <w:rsid w:val="005E5785"/>
    <w:rsid w:val="005E5F4B"/>
    <w:rsid w:val="005E7EC2"/>
    <w:rsid w:val="005F0663"/>
    <w:rsid w:val="005F1E38"/>
    <w:rsid w:val="005F2B65"/>
    <w:rsid w:val="005F3BE9"/>
    <w:rsid w:val="005F3E37"/>
    <w:rsid w:val="006001DB"/>
    <w:rsid w:val="00601200"/>
    <w:rsid w:val="006044E7"/>
    <w:rsid w:val="00604A63"/>
    <w:rsid w:val="00607423"/>
    <w:rsid w:val="0060748F"/>
    <w:rsid w:val="00616985"/>
    <w:rsid w:val="00620FE7"/>
    <w:rsid w:val="006212C5"/>
    <w:rsid w:val="00621490"/>
    <w:rsid w:val="00623B3D"/>
    <w:rsid w:val="00623CA6"/>
    <w:rsid w:val="0062530A"/>
    <w:rsid w:val="006259E8"/>
    <w:rsid w:val="00626A44"/>
    <w:rsid w:val="0063045C"/>
    <w:rsid w:val="006305D7"/>
    <w:rsid w:val="00633537"/>
    <w:rsid w:val="00633CD6"/>
    <w:rsid w:val="00634EE7"/>
    <w:rsid w:val="00635054"/>
    <w:rsid w:val="00643794"/>
    <w:rsid w:val="006445C7"/>
    <w:rsid w:val="00644B4E"/>
    <w:rsid w:val="00644EFD"/>
    <w:rsid w:val="0064561B"/>
    <w:rsid w:val="00646450"/>
    <w:rsid w:val="00647685"/>
    <w:rsid w:val="006556D8"/>
    <w:rsid w:val="00657D9D"/>
    <w:rsid w:val="00663021"/>
    <w:rsid w:val="00663F3C"/>
    <w:rsid w:val="00673B06"/>
    <w:rsid w:val="006768AB"/>
    <w:rsid w:val="006776F7"/>
    <w:rsid w:val="00680C9B"/>
    <w:rsid w:val="006857DE"/>
    <w:rsid w:val="006905A3"/>
    <w:rsid w:val="00690D8B"/>
    <w:rsid w:val="00690F9B"/>
    <w:rsid w:val="00693326"/>
    <w:rsid w:val="00696FAE"/>
    <w:rsid w:val="006A18B5"/>
    <w:rsid w:val="006A4298"/>
    <w:rsid w:val="006A565B"/>
    <w:rsid w:val="006A64CD"/>
    <w:rsid w:val="006B2CF2"/>
    <w:rsid w:val="006C2568"/>
    <w:rsid w:val="006C766A"/>
    <w:rsid w:val="006C77CA"/>
    <w:rsid w:val="006D2CA5"/>
    <w:rsid w:val="006D5ED2"/>
    <w:rsid w:val="006D70D7"/>
    <w:rsid w:val="006D7C2D"/>
    <w:rsid w:val="006E0E55"/>
    <w:rsid w:val="006E19C0"/>
    <w:rsid w:val="006E3DC7"/>
    <w:rsid w:val="006F302B"/>
    <w:rsid w:val="006F759D"/>
    <w:rsid w:val="006F7BA5"/>
    <w:rsid w:val="006F7F0D"/>
    <w:rsid w:val="00701F2D"/>
    <w:rsid w:val="0070373C"/>
    <w:rsid w:val="00706189"/>
    <w:rsid w:val="00706705"/>
    <w:rsid w:val="007070CB"/>
    <w:rsid w:val="0071026B"/>
    <w:rsid w:val="00711A0E"/>
    <w:rsid w:val="00714749"/>
    <w:rsid w:val="0071474D"/>
    <w:rsid w:val="0071650B"/>
    <w:rsid w:val="00721348"/>
    <w:rsid w:val="00724768"/>
    <w:rsid w:val="00731F0F"/>
    <w:rsid w:val="00733494"/>
    <w:rsid w:val="0073468B"/>
    <w:rsid w:val="00735718"/>
    <w:rsid w:val="007364C1"/>
    <w:rsid w:val="00736FB8"/>
    <w:rsid w:val="0074184E"/>
    <w:rsid w:val="007419C0"/>
    <w:rsid w:val="00742563"/>
    <w:rsid w:val="0074511D"/>
    <w:rsid w:val="0074513E"/>
    <w:rsid w:val="007549E4"/>
    <w:rsid w:val="0075599F"/>
    <w:rsid w:val="0075772A"/>
    <w:rsid w:val="00760D45"/>
    <w:rsid w:val="0076169C"/>
    <w:rsid w:val="00762AB7"/>
    <w:rsid w:val="0076511F"/>
    <w:rsid w:val="007667A7"/>
    <w:rsid w:val="00767EAF"/>
    <w:rsid w:val="00771E45"/>
    <w:rsid w:val="00773B33"/>
    <w:rsid w:val="00774CC4"/>
    <w:rsid w:val="007755B3"/>
    <w:rsid w:val="007763E1"/>
    <w:rsid w:val="0078016B"/>
    <w:rsid w:val="007802BA"/>
    <w:rsid w:val="00783488"/>
    <w:rsid w:val="007839E2"/>
    <w:rsid w:val="00785576"/>
    <w:rsid w:val="00785C35"/>
    <w:rsid w:val="007917CB"/>
    <w:rsid w:val="007922C3"/>
    <w:rsid w:val="00794600"/>
    <w:rsid w:val="007A0146"/>
    <w:rsid w:val="007A262E"/>
    <w:rsid w:val="007A3187"/>
    <w:rsid w:val="007A3D3F"/>
    <w:rsid w:val="007A4E97"/>
    <w:rsid w:val="007A4FED"/>
    <w:rsid w:val="007A7C93"/>
    <w:rsid w:val="007B2E89"/>
    <w:rsid w:val="007B3AF7"/>
    <w:rsid w:val="007B4C82"/>
    <w:rsid w:val="007B6CFD"/>
    <w:rsid w:val="007C5122"/>
    <w:rsid w:val="007C6EAB"/>
    <w:rsid w:val="007D178B"/>
    <w:rsid w:val="007D63D7"/>
    <w:rsid w:val="007D7DA7"/>
    <w:rsid w:val="007E4BB0"/>
    <w:rsid w:val="007E56EA"/>
    <w:rsid w:val="007E693A"/>
    <w:rsid w:val="007F23FF"/>
    <w:rsid w:val="007F5E5B"/>
    <w:rsid w:val="007F7205"/>
    <w:rsid w:val="00802017"/>
    <w:rsid w:val="00802EC7"/>
    <w:rsid w:val="008043E2"/>
    <w:rsid w:val="00805278"/>
    <w:rsid w:val="008069E2"/>
    <w:rsid w:val="008070B7"/>
    <w:rsid w:val="0081129A"/>
    <w:rsid w:val="00811445"/>
    <w:rsid w:val="0081153D"/>
    <w:rsid w:val="00813F17"/>
    <w:rsid w:val="008148D0"/>
    <w:rsid w:val="00814C7D"/>
    <w:rsid w:val="0081595E"/>
    <w:rsid w:val="00817077"/>
    <w:rsid w:val="0082251D"/>
    <w:rsid w:val="00822943"/>
    <w:rsid w:val="0082693A"/>
    <w:rsid w:val="00827183"/>
    <w:rsid w:val="00827B16"/>
    <w:rsid w:val="00830AE0"/>
    <w:rsid w:val="008320B3"/>
    <w:rsid w:val="00833701"/>
    <w:rsid w:val="0083476F"/>
    <w:rsid w:val="00835FFC"/>
    <w:rsid w:val="008371B9"/>
    <w:rsid w:val="00837463"/>
    <w:rsid w:val="008378EC"/>
    <w:rsid w:val="008402B8"/>
    <w:rsid w:val="0084438D"/>
    <w:rsid w:val="00850CE3"/>
    <w:rsid w:val="0085181F"/>
    <w:rsid w:val="00851A8B"/>
    <w:rsid w:val="00852C39"/>
    <w:rsid w:val="00856A5A"/>
    <w:rsid w:val="008601BE"/>
    <w:rsid w:val="008603B6"/>
    <w:rsid w:val="0086224B"/>
    <w:rsid w:val="00867801"/>
    <w:rsid w:val="00871892"/>
    <w:rsid w:val="00876E08"/>
    <w:rsid w:val="0087769C"/>
    <w:rsid w:val="00877878"/>
    <w:rsid w:val="0088465C"/>
    <w:rsid w:val="00884DB4"/>
    <w:rsid w:val="00885A57"/>
    <w:rsid w:val="00886F23"/>
    <w:rsid w:val="008878D7"/>
    <w:rsid w:val="00890D6B"/>
    <w:rsid w:val="0089224A"/>
    <w:rsid w:val="008A2562"/>
    <w:rsid w:val="008A376D"/>
    <w:rsid w:val="008A50A5"/>
    <w:rsid w:val="008A6495"/>
    <w:rsid w:val="008B0427"/>
    <w:rsid w:val="008B68BB"/>
    <w:rsid w:val="008B7160"/>
    <w:rsid w:val="008C020F"/>
    <w:rsid w:val="008C1B44"/>
    <w:rsid w:val="008C4870"/>
    <w:rsid w:val="008D7942"/>
    <w:rsid w:val="008E3D9E"/>
    <w:rsid w:val="008E769B"/>
    <w:rsid w:val="008F315D"/>
    <w:rsid w:val="008F55FB"/>
    <w:rsid w:val="008F7FD7"/>
    <w:rsid w:val="00901289"/>
    <w:rsid w:val="00904465"/>
    <w:rsid w:val="009106EC"/>
    <w:rsid w:val="00911865"/>
    <w:rsid w:val="00914906"/>
    <w:rsid w:val="00916566"/>
    <w:rsid w:val="0091706F"/>
    <w:rsid w:val="0091795A"/>
    <w:rsid w:val="009203C5"/>
    <w:rsid w:val="009207BD"/>
    <w:rsid w:val="009213C6"/>
    <w:rsid w:val="00921B72"/>
    <w:rsid w:val="009223CD"/>
    <w:rsid w:val="009236FD"/>
    <w:rsid w:val="00925BD1"/>
    <w:rsid w:val="00925C25"/>
    <w:rsid w:val="00925CF5"/>
    <w:rsid w:val="0092695C"/>
    <w:rsid w:val="00926CE3"/>
    <w:rsid w:val="00935ECC"/>
    <w:rsid w:val="0094320D"/>
    <w:rsid w:val="0094590E"/>
    <w:rsid w:val="00945ED5"/>
    <w:rsid w:val="00945EDB"/>
    <w:rsid w:val="009479AC"/>
    <w:rsid w:val="009504E6"/>
    <w:rsid w:val="00952020"/>
    <w:rsid w:val="00953D4E"/>
    <w:rsid w:val="0095519D"/>
    <w:rsid w:val="00964BDD"/>
    <w:rsid w:val="0096652C"/>
    <w:rsid w:val="00967851"/>
    <w:rsid w:val="00970E44"/>
    <w:rsid w:val="0097137B"/>
    <w:rsid w:val="00973B93"/>
    <w:rsid w:val="00973D1F"/>
    <w:rsid w:val="00973EBE"/>
    <w:rsid w:val="009749E4"/>
    <w:rsid w:val="00977869"/>
    <w:rsid w:val="009843CD"/>
    <w:rsid w:val="00985DCB"/>
    <w:rsid w:val="009862B9"/>
    <w:rsid w:val="00990229"/>
    <w:rsid w:val="00993BB4"/>
    <w:rsid w:val="00995E81"/>
    <w:rsid w:val="00996E31"/>
    <w:rsid w:val="009974DC"/>
    <w:rsid w:val="00997771"/>
    <w:rsid w:val="009977B5"/>
    <w:rsid w:val="009A1AEC"/>
    <w:rsid w:val="009A23DF"/>
    <w:rsid w:val="009A2696"/>
    <w:rsid w:val="009A4E64"/>
    <w:rsid w:val="009A4FB0"/>
    <w:rsid w:val="009A7588"/>
    <w:rsid w:val="009A770D"/>
    <w:rsid w:val="009B00C7"/>
    <w:rsid w:val="009B2D84"/>
    <w:rsid w:val="009B4B83"/>
    <w:rsid w:val="009B4C12"/>
    <w:rsid w:val="009B79B0"/>
    <w:rsid w:val="009C0C6E"/>
    <w:rsid w:val="009C12A0"/>
    <w:rsid w:val="009C164B"/>
    <w:rsid w:val="009E3590"/>
    <w:rsid w:val="009E694D"/>
    <w:rsid w:val="009E7C17"/>
    <w:rsid w:val="009F139E"/>
    <w:rsid w:val="009F2A79"/>
    <w:rsid w:val="009F4F30"/>
    <w:rsid w:val="009F50FB"/>
    <w:rsid w:val="009F7C4C"/>
    <w:rsid w:val="00A00117"/>
    <w:rsid w:val="00A04FBC"/>
    <w:rsid w:val="00A0622A"/>
    <w:rsid w:val="00A10714"/>
    <w:rsid w:val="00A134D2"/>
    <w:rsid w:val="00A13AA5"/>
    <w:rsid w:val="00A13E56"/>
    <w:rsid w:val="00A147A3"/>
    <w:rsid w:val="00A14DA3"/>
    <w:rsid w:val="00A15450"/>
    <w:rsid w:val="00A1646F"/>
    <w:rsid w:val="00A178EA"/>
    <w:rsid w:val="00A21CD2"/>
    <w:rsid w:val="00A22120"/>
    <w:rsid w:val="00A22222"/>
    <w:rsid w:val="00A235D3"/>
    <w:rsid w:val="00A25D13"/>
    <w:rsid w:val="00A26E77"/>
    <w:rsid w:val="00A3040A"/>
    <w:rsid w:val="00A347BF"/>
    <w:rsid w:val="00A352A2"/>
    <w:rsid w:val="00A36AC4"/>
    <w:rsid w:val="00A36E21"/>
    <w:rsid w:val="00A37DF1"/>
    <w:rsid w:val="00A37F86"/>
    <w:rsid w:val="00A409CA"/>
    <w:rsid w:val="00A4492B"/>
    <w:rsid w:val="00A45348"/>
    <w:rsid w:val="00A478B0"/>
    <w:rsid w:val="00A51895"/>
    <w:rsid w:val="00A528A1"/>
    <w:rsid w:val="00A52C1D"/>
    <w:rsid w:val="00A5327D"/>
    <w:rsid w:val="00A57761"/>
    <w:rsid w:val="00A60176"/>
    <w:rsid w:val="00A66C23"/>
    <w:rsid w:val="00A66C99"/>
    <w:rsid w:val="00A66CB5"/>
    <w:rsid w:val="00A73FE9"/>
    <w:rsid w:val="00A740DD"/>
    <w:rsid w:val="00A75019"/>
    <w:rsid w:val="00A75DA7"/>
    <w:rsid w:val="00A81029"/>
    <w:rsid w:val="00A830DA"/>
    <w:rsid w:val="00A83AD2"/>
    <w:rsid w:val="00A844E4"/>
    <w:rsid w:val="00A85D66"/>
    <w:rsid w:val="00A86BCA"/>
    <w:rsid w:val="00A92377"/>
    <w:rsid w:val="00A9323B"/>
    <w:rsid w:val="00A93C3D"/>
    <w:rsid w:val="00AA08CA"/>
    <w:rsid w:val="00AA2568"/>
    <w:rsid w:val="00AA28A5"/>
    <w:rsid w:val="00AA44F2"/>
    <w:rsid w:val="00AA46ED"/>
    <w:rsid w:val="00AA4F04"/>
    <w:rsid w:val="00AA6112"/>
    <w:rsid w:val="00AB1651"/>
    <w:rsid w:val="00AB2DE0"/>
    <w:rsid w:val="00AB38FA"/>
    <w:rsid w:val="00AB3984"/>
    <w:rsid w:val="00AB4AFF"/>
    <w:rsid w:val="00AC06AF"/>
    <w:rsid w:val="00AC0BBC"/>
    <w:rsid w:val="00AC172B"/>
    <w:rsid w:val="00AC43B0"/>
    <w:rsid w:val="00AD0642"/>
    <w:rsid w:val="00AD43F5"/>
    <w:rsid w:val="00AD4959"/>
    <w:rsid w:val="00AE1EC4"/>
    <w:rsid w:val="00AE4319"/>
    <w:rsid w:val="00AE450F"/>
    <w:rsid w:val="00AE47FB"/>
    <w:rsid w:val="00AE53BC"/>
    <w:rsid w:val="00AE79A3"/>
    <w:rsid w:val="00AF1A10"/>
    <w:rsid w:val="00AF3F6F"/>
    <w:rsid w:val="00AF64A4"/>
    <w:rsid w:val="00AF7950"/>
    <w:rsid w:val="00AF7976"/>
    <w:rsid w:val="00B04195"/>
    <w:rsid w:val="00B04F53"/>
    <w:rsid w:val="00B109C3"/>
    <w:rsid w:val="00B10B28"/>
    <w:rsid w:val="00B1362B"/>
    <w:rsid w:val="00B14479"/>
    <w:rsid w:val="00B21381"/>
    <w:rsid w:val="00B2567C"/>
    <w:rsid w:val="00B31772"/>
    <w:rsid w:val="00B336C5"/>
    <w:rsid w:val="00B33DCD"/>
    <w:rsid w:val="00B34FBA"/>
    <w:rsid w:val="00B35E3A"/>
    <w:rsid w:val="00B36C1A"/>
    <w:rsid w:val="00B43456"/>
    <w:rsid w:val="00B43474"/>
    <w:rsid w:val="00B44C33"/>
    <w:rsid w:val="00B467E8"/>
    <w:rsid w:val="00B53327"/>
    <w:rsid w:val="00B6049C"/>
    <w:rsid w:val="00B60984"/>
    <w:rsid w:val="00B60CA2"/>
    <w:rsid w:val="00B60D64"/>
    <w:rsid w:val="00B61FDF"/>
    <w:rsid w:val="00B620CC"/>
    <w:rsid w:val="00B63593"/>
    <w:rsid w:val="00B64F3D"/>
    <w:rsid w:val="00B65EF3"/>
    <w:rsid w:val="00B661A2"/>
    <w:rsid w:val="00B67CDD"/>
    <w:rsid w:val="00B72DAB"/>
    <w:rsid w:val="00B73237"/>
    <w:rsid w:val="00B75B5A"/>
    <w:rsid w:val="00B8083F"/>
    <w:rsid w:val="00B86C22"/>
    <w:rsid w:val="00B91F6C"/>
    <w:rsid w:val="00B91FE2"/>
    <w:rsid w:val="00B97AE9"/>
    <w:rsid w:val="00BA2604"/>
    <w:rsid w:val="00BA4A9F"/>
    <w:rsid w:val="00BA5C98"/>
    <w:rsid w:val="00BB0080"/>
    <w:rsid w:val="00BB5502"/>
    <w:rsid w:val="00BC135A"/>
    <w:rsid w:val="00BC470E"/>
    <w:rsid w:val="00BC4EAD"/>
    <w:rsid w:val="00BC613B"/>
    <w:rsid w:val="00BC7263"/>
    <w:rsid w:val="00BD3395"/>
    <w:rsid w:val="00BD3937"/>
    <w:rsid w:val="00BD65C6"/>
    <w:rsid w:val="00BD75D0"/>
    <w:rsid w:val="00BD78E7"/>
    <w:rsid w:val="00BE314B"/>
    <w:rsid w:val="00BE7CE8"/>
    <w:rsid w:val="00BE7F12"/>
    <w:rsid w:val="00BF1BCF"/>
    <w:rsid w:val="00BF59EA"/>
    <w:rsid w:val="00BF6095"/>
    <w:rsid w:val="00BF626E"/>
    <w:rsid w:val="00C03550"/>
    <w:rsid w:val="00C06FC4"/>
    <w:rsid w:val="00C1008E"/>
    <w:rsid w:val="00C11FB8"/>
    <w:rsid w:val="00C12168"/>
    <w:rsid w:val="00C1237A"/>
    <w:rsid w:val="00C14343"/>
    <w:rsid w:val="00C15CE2"/>
    <w:rsid w:val="00C24101"/>
    <w:rsid w:val="00C2608C"/>
    <w:rsid w:val="00C26B68"/>
    <w:rsid w:val="00C301C3"/>
    <w:rsid w:val="00C3234A"/>
    <w:rsid w:val="00C33C8F"/>
    <w:rsid w:val="00C35050"/>
    <w:rsid w:val="00C35616"/>
    <w:rsid w:val="00C36E0D"/>
    <w:rsid w:val="00C40318"/>
    <w:rsid w:val="00C40B81"/>
    <w:rsid w:val="00C41EE5"/>
    <w:rsid w:val="00C43388"/>
    <w:rsid w:val="00C43943"/>
    <w:rsid w:val="00C44220"/>
    <w:rsid w:val="00C46507"/>
    <w:rsid w:val="00C46FFC"/>
    <w:rsid w:val="00C50F60"/>
    <w:rsid w:val="00C52B4F"/>
    <w:rsid w:val="00C60D73"/>
    <w:rsid w:val="00C628C2"/>
    <w:rsid w:val="00C66396"/>
    <w:rsid w:val="00C67F1D"/>
    <w:rsid w:val="00C71FB1"/>
    <w:rsid w:val="00C7242A"/>
    <w:rsid w:val="00C73B5E"/>
    <w:rsid w:val="00C772C0"/>
    <w:rsid w:val="00C7754B"/>
    <w:rsid w:val="00C81D30"/>
    <w:rsid w:val="00C82558"/>
    <w:rsid w:val="00C82B7C"/>
    <w:rsid w:val="00C8527A"/>
    <w:rsid w:val="00C862C3"/>
    <w:rsid w:val="00C87629"/>
    <w:rsid w:val="00C87C50"/>
    <w:rsid w:val="00C90015"/>
    <w:rsid w:val="00C90E9C"/>
    <w:rsid w:val="00C92474"/>
    <w:rsid w:val="00C92856"/>
    <w:rsid w:val="00C95BCE"/>
    <w:rsid w:val="00C97241"/>
    <w:rsid w:val="00C97CDB"/>
    <w:rsid w:val="00CA0914"/>
    <w:rsid w:val="00CA7492"/>
    <w:rsid w:val="00CA74F8"/>
    <w:rsid w:val="00CB56C0"/>
    <w:rsid w:val="00CB591A"/>
    <w:rsid w:val="00CB7260"/>
    <w:rsid w:val="00CC0683"/>
    <w:rsid w:val="00CC1D49"/>
    <w:rsid w:val="00CC2C3A"/>
    <w:rsid w:val="00CC2C96"/>
    <w:rsid w:val="00CC4E9B"/>
    <w:rsid w:val="00CC7C0F"/>
    <w:rsid w:val="00CD1D9C"/>
    <w:rsid w:val="00CD3A49"/>
    <w:rsid w:val="00CD7C79"/>
    <w:rsid w:val="00CE240B"/>
    <w:rsid w:val="00CE3D55"/>
    <w:rsid w:val="00CE692B"/>
    <w:rsid w:val="00CF10C8"/>
    <w:rsid w:val="00CF137B"/>
    <w:rsid w:val="00CF1A48"/>
    <w:rsid w:val="00CF2664"/>
    <w:rsid w:val="00D0045A"/>
    <w:rsid w:val="00D03398"/>
    <w:rsid w:val="00D03F7D"/>
    <w:rsid w:val="00D12FAA"/>
    <w:rsid w:val="00D16D29"/>
    <w:rsid w:val="00D17B72"/>
    <w:rsid w:val="00D2222F"/>
    <w:rsid w:val="00D23435"/>
    <w:rsid w:val="00D24004"/>
    <w:rsid w:val="00D329F8"/>
    <w:rsid w:val="00D32E03"/>
    <w:rsid w:val="00D362E3"/>
    <w:rsid w:val="00D37136"/>
    <w:rsid w:val="00D40232"/>
    <w:rsid w:val="00D43730"/>
    <w:rsid w:val="00D43E5F"/>
    <w:rsid w:val="00D446AB"/>
    <w:rsid w:val="00D4473C"/>
    <w:rsid w:val="00D470C7"/>
    <w:rsid w:val="00D52666"/>
    <w:rsid w:val="00D551A6"/>
    <w:rsid w:val="00D55450"/>
    <w:rsid w:val="00D60370"/>
    <w:rsid w:val="00D618DD"/>
    <w:rsid w:val="00D62AD6"/>
    <w:rsid w:val="00D6335C"/>
    <w:rsid w:val="00D667A6"/>
    <w:rsid w:val="00D66E64"/>
    <w:rsid w:val="00D72D90"/>
    <w:rsid w:val="00D736DF"/>
    <w:rsid w:val="00D74DDB"/>
    <w:rsid w:val="00D8529E"/>
    <w:rsid w:val="00D90966"/>
    <w:rsid w:val="00D9652F"/>
    <w:rsid w:val="00D96890"/>
    <w:rsid w:val="00D96C5E"/>
    <w:rsid w:val="00D97934"/>
    <w:rsid w:val="00DA09B2"/>
    <w:rsid w:val="00DA4095"/>
    <w:rsid w:val="00DA4840"/>
    <w:rsid w:val="00DA6604"/>
    <w:rsid w:val="00DB0AAD"/>
    <w:rsid w:val="00DB3CC6"/>
    <w:rsid w:val="00DB433B"/>
    <w:rsid w:val="00DB5E6A"/>
    <w:rsid w:val="00DB67F8"/>
    <w:rsid w:val="00DB6FFE"/>
    <w:rsid w:val="00DC1E4A"/>
    <w:rsid w:val="00DC1F77"/>
    <w:rsid w:val="00DC309D"/>
    <w:rsid w:val="00DC377F"/>
    <w:rsid w:val="00DD11C4"/>
    <w:rsid w:val="00DD1333"/>
    <w:rsid w:val="00DD2454"/>
    <w:rsid w:val="00DE14DA"/>
    <w:rsid w:val="00DE35DD"/>
    <w:rsid w:val="00DE4EC9"/>
    <w:rsid w:val="00DF220F"/>
    <w:rsid w:val="00DF2BB6"/>
    <w:rsid w:val="00DF34D9"/>
    <w:rsid w:val="00DF3D16"/>
    <w:rsid w:val="00DF6E9B"/>
    <w:rsid w:val="00DF7CF7"/>
    <w:rsid w:val="00DF7E64"/>
    <w:rsid w:val="00E03319"/>
    <w:rsid w:val="00E078D8"/>
    <w:rsid w:val="00E1168B"/>
    <w:rsid w:val="00E118E2"/>
    <w:rsid w:val="00E204F5"/>
    <w:rsid w:val="00E20F33"/>
    <w:rsid w:val="00E22473"/>
    <w:rsid w:val="00E33A83"/>
    <w:rsid w:val="00E36770"/>
    <w:rsid w:val="00E368E4"/>
    <w:rsid w:val="00E43434"/>
    <w:rsid w:val="00E43A63"/>
    <w:rsid w:val="00E4542B"/>
    <w:rsid w:val="00E46981"/>
    <w:rsid w:val="00E46DAD"/>
    <w:rsid w:val="00E544AA"/>
    <w:rsid w:val="00E64ADB"/>
    <w:rsid w:val="00E66174"/>
    <w:rsid w:val="00E70887"/>
    <w:rsid w:val="00E74349"/>
    <w:rsid w:val="00E74A5E"/>
    <w:rsid w:val="00E75535"/>
    <w:rsid w:val="00E76957"/>
    <w:rsid w:val="00E771A8"/>
    <w:rsid w:val="00E77667"/>
    <w:rsid w:val="00E81CAF"/>
    <w:rsid w:val="00E86CBC"/>
    <w:rsid w:val="00E90516"/>
    <w:rsid w:val="00E90FD6"/>
    <w:rsid w:val="00E914B8"/>
    <w:rsid w:val="00E9685D"/>
    <w:rsid w:val="00EA1398"/>
    <w:rsid w:val="00EA26B5"/>
    <w:rsid w:val="00EA44D1"/>
    <w:rsid w:val="00EA61B8"/>
    <w:rsid w:val="00EA6963"/>
    <w:rsid w:val="00EB03C6"/>
    <w:rsid w:val="00EB32C4"/>
    <w:rsid w:val="00EB68DF"/>
    <w:rsid w:val="00EB68EF"/>
    <w:rsid w:val="00EC20FF"/>
    <w:rsid w:val="00EC5E39"/>
    <w:rsid w:val="00EC616E"/>
    <w:rsid w:val="00EC7C05"/>
    <w:rsid w:val="00ED0208"/>
    <w:rsid w:val="00ED3B73"/>
    <w:rsid w:val="00ED44A6"/>
    <w:rsid w:val="00ED69C6"/>
    <w:rsid w:val="00EE015A"/>
    <w:rsid w:val="00EE020A"/>
    <w:rsid w:val="00EE252A"/>
    <w:rsid w:val="00EE63E9"/>
    <w:rsid w:val="00EF0A48"/>
    <w:rsid w:val="00EF0EAF"/>
    <w:rsid w:val="00EF1770"/>
    <w:rsid w:val="00EF2146"/>
    <w:rsid w:val="00EF66C5"/>
    <w:rsid w:val="00F00945"/>
    <w:rsid w:val="00F034D9"/>
    <w:rsid w:val="00F068F8"/>
    <w:rsid w:val="00F072C4"/>
    <w:rsid w:val="00F073AC"/>
    <w:rsid w:val="00F075AD"/>
    <w:rsid w:val="00F10AEE"/>
    <w:rsid w:val="00F11113"/>
    <w:rsid w:val="00F115DC"/>
    <w:rsid w:val="00F154C7"/>
    <w:rsid w:val="00F161AB"/>
    <w:rsid w:val="00F165BA"/>
    <w:rsid w:val="00F16AD9"/>
    <w:rsid w:val="00F208F2"/>
    <w:rsid w:val="00F236E2"/>
    <w:rsid w:val="00F363BA"/>
    <w:rsid w:val="00F37AB0"/>
    <w:rsid w:val="00F405ED"/>
    <w:rsid w:val="00F4180D"/>
    <w:rsid w:val="00F42841"/>
    <w:rsid w:val="00F43862"/>
    <w:rsid w:val="00F44167"/>
    <w:rsid w:val="00F447D2"/>
    <w:rsid w:val="00F47C08"/>
    <w:rsid w:val="00F540B6"/>
    <w:rsid w:val="00F56C40"/>
    <w:rsid w:val="00F607E9"/>
    <w:rsid w:val="00F60C62"/>
    <w:rsid w:val="00F61B62"/>
    <w:rsid w:val="00F62B1C"/>
    <w:rsid w:val="00F6472D"/>
    <w:rsid w:val="00F64C6B"/>
    <w:rsid w:val="00F65D95"/>
    <w:rsid w:val="00F675D6"/>
    <w:rsid w:val="00F71479"/>
    <w:rsid w:val="00F82064"/>
    <w:rsid w:val="00F823AF"/>
    <w:rsid w:val="00F829E4"/>
    <w:rsid w:val="00F83423"/>
    <w:rsid w:val="00F8602F"/>
    <w:rsid w:val="00F923AC"/>
    <w:rsid w:val="00F93895"/>
    <w:rsid w:val="00FA6ACB"/>
    <w:rsid w:val="00FB0034"/>
    <w:rsid w:val="00FB1A74"/>
    <w:rsid w:val="00FB2450"/>
    <w:rsid w:val="00FC275A"/>
    <w:rsid w:val="00FC3567"/>
    <w:rsid w:val="00FD26E3"/>
    <w:rsid w:val="00FD2ED4"/>
    <w:rsid w:val="00FF0337"/>
    <w:rsid w:val="00FF4346"/>
    <w:rsid w:val="00FF57FA"/>
    <w:rsid w:val="00FF6371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BB31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9B7138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B7138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B7138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B7138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51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C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52C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A52C1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2C1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2C1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2C1D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52C1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2C1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2C1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2C1D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731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1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38AB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1F2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1F2D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01F2D"/>
    <w:rPr>
      <w:vertAlign w:val="superscript"/>
    </w:rPr>
  </w:style>
  <w:style w:type="paragraph" w:customStyle="1" w:styleId="Default">
    <w:name w:val="Default"/>
    <w:rsid w:val="00C50F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180D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180D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180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4180D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3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3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713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3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3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3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B713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9B713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4180D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F4180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9B713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F418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F4180D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F418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9B7138"/>
    <w:pPr>
      <w:ind w:left="850"/>
    </w:pPr>
  </w:style>
  <w:style w:type="paragraph" w:customStyle="1" w:styleId="Text2">
    <w:name w:val="Text 2"/>
    <w:basedOn w:val="Normal"/>
    <w:rsid w:val="009B7138"/>
    <w:pPr>
      <w:ind w:left="1417"/>
    </w:pPr>
  </w:style>
  <w:style w:type="paragraph" w:customStyle="1" w:styleId="Text3">
    <w:name w:val="Text 3"/>
    <w:basedOn w:val="Normal"/>
    <w:rsid w:val="009B7138"/>
    <w:pPr>
      <w:ind w:left="1984"/>
    </w:pPr>
  </w:style>
  <w:style w:type="paragraph" w:customStyle="1" w:styleId="Text4">
    <w:name w:val="Text 4"/>
    <w:basedOn w:val="Normal"/>
    <w:rsid w:val="009B7138"/>
    <w:pPr>
      <w:ind w:left="2551"/>
    </w:pPr>
  </w:style>
  <w:style w:type="paragraph" w:customStyle="1" w:styleId="NormalCentered">
    <w:name w:val="Normal Centered"/>
    <w:basedOn w:val="Normal"/>
    <w:rsid w:val="009B7138"/>
    <w:pPr>
      <w:jc w:val="center"/>
    </w:pPr>
  </w:style>
  <w:style w:type="paragraph" w:customStyle="1" w:styleId="NormalLeft">
    <w:name w:val="Normal Left"/>
    <w:basedOn w:val="Normal"/>
    <w:rsid w:val="009B7138"/>
    <w:pPr>
      <w:jc w:val="left"/>
    </w:pPr>
  </w:style>
  <w:style w:type="paragraph" w:customStyle="1" w:styleId="NormalRight">
    <w:name w:val="Normal Right"/>
    <w:basedOn w:val="Normal"/>
    <w:rsid w:val="009B7138"/>
    <w:pPr>
      <w:jc w:val="right"/>
    </w:pPr>
  </w:style>
  <w:style w:type="paragraph" w:customStyle="1" w:styleId="QuotedText">
    <w:name w:val="Quoted Text"/>
    <w:basedOn w:val="Normal"/>
    <w:rsid w:val="009B7138"/>
    <w:pPr>
      <w:ind w:left="1417"/>
    </w:pPr>
  </w:style>
  <w:style w:type="paragraph" w:customStyle="1" w:styleId="Point0">
    <w:name w:val="Point 0"/>
    <w:basedOn w:val="Normal"/>
    <w:rsid w:val="009B7138"/>
    <w:pPr>
      <w:ind w:left="850" w:hanging="850"/>
    </w:pPr>
  </w:style>
  <w:style w:type="paragraph" w:customStyle="1" w:styleId="Point1">
    <w:name w:val="Point 1"/>
    <w:basedOn w:val="Normal"/>
    <w:rsid w:val="009B7138"/>
    <w:pPr>
      <w:ind w:left="1417" w:hanging="567"/>
    </w:pPr>
  </w:style>
  <w:style w:type="paragraph" w:customStyle="1" w:styleId="Point2">
    <w:name w:val="Point 2"/>
    <w:basedOn w:val="Normal"/>
    <w:rsid w:val="009B7138"/>
    <w:pPr>
      <w:ind w:left="1984" w:hanging="567"/>
    </w:pPr>
  </w:style>
  <w:style w:type="paragraph" w:customStyle="1" w:styleId="Point3">
    <w:name w:val="Point 3"/>
    <w:basedOn w:val="Normal"/>
    <w:rsid w:val="009B7138"/>
    <w:pPr>
      <w:ind w:left="2551" w:hanging="567"/>
    </w:pPr>
  </w:style>
  <w:style w:type="paragraph" w:customStyle="1" w:styleId="Point4">
    <w:name w:val="Point 4"/>
    <w:basedOn w:val="Normal"/>
    <w:rsid w:val="009B7138"/>
    <w:pPr>
      <w:ind w:left="3118" w:hanging="567"/>
    </w:pPr>
  </w:style>
  <w:style w:type="paragraph" w:customStyle="1" w:styleId="Tiret0">
    <w:name w:val="Tiret 0"/>
    <w:basedOn w:val="Point0"/>
    <w:rsid w:val="009B7138"/>
    <w:pPr>
      <w:numPr>
        <w:numId w:val="24"/>
      </w:numPr>
    </w:pPr>
  </w:style>
  <w:style w:type="paragraph" w:customStyle="1" w:styleId="Tiret1">
    <w:name w:val="Tiret 1"/>
    <w:basedOn w:val="Point1"/>
    <w:rsid w:val="009B7138"/>
    <w:pPr>
      <w:numPr>
        <w:numId w:val="25"/>
      </w:numPr>
    </w:pPr>
  </w:style>
  <w:style w:type="paragraph" w:customStyle="1" w:styleId="Tiret2">
    <w:name w:val="Tiret 2"/>
    <w:basedOn w:val="Point2"/>
    <w:rsid w:val="009B7138"/>
    <w:pPr>
      <w:numPr>
        <w:numId w:val="26"/>
      </w:numPr>
    </w:pPr>
  </w:style>
  <w:style w:type="paragraph" w:customStyle="1" w:styleId="Tiret3">
    <w:name w:val="Tiret 3"/>
    <w:basedOn w:val="Point3"/>
    <w:rsid w:val="009B7138"/>
    <w:pPr>
      <w:numPr>
        <w:numId w:val="27"/>
      </w:numPr>
    </w:pPr>
  </w:style>
  <w:style w:type="paragraph" w:customStyle="1" w:styleId="Tiret4">
    <w:name w:val="Tiret 4"/>
    <w:basedOn w:val="Point4"/>
    <w:rsid w:val="009B7138"/>
    <w:pPr>
      <w:numPr>
        <w:numId w:val="28"/>
      </w:numPr>
    </w:pPr>
  </w:style>
  <w:style w:type="paragraph" w:customStyle="1" w:styleId="PointDouble0">
    <w:name w:val="PointDouble 0"/>
    <w:basedOn w:val="Normal"/>
    <w:rsid w:val="009B713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9B713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9B713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9B713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9B713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9B713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9B713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9B713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9B713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9B713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9B7138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9B7138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9B7138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9B7138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9B713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9B713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9B713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9B7138"/>
    <w:pPr>
      <w:ind w:left="850" w:hanging="850"/>
    </w:pPr>
  </w:style>
  <w:style w:type="paragraph" w:customStyle="1" w:styleId="QuotedNumPar">
    <w:name w:val="Quoted NumPar"/>
    <w:basedOn w:val="Normal"/>
    <w:rsid w:val="009B713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9B713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9B713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9B713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9B713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9B713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B713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9B713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9B7138"/>
    <w:pPr>
      <w:jc w:val="center"/>
    </w:pPr>
    <w:rPr>
      <w:b/>
    </w:rPr>
  </w:style>
  <w:style w:type="character" w:customStyle="1" w:styleId="Marker">
    <w:name w:val="Marker"/>
    <w:basedOn w:val="DefaultParagraphFont"/>
    <w:rsid w:val="009B713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B713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B713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B7138"/>
    <w:pPr>
      <w:numPr>
        <w:numId w:val="31"/>
      </w:numPr>
    </w:pPr>
  </w:style>
  <w:style w:type="paragraph" w:customStyle="1" w:styleId="Point1number">
    <w:name w:val="Point 1 (number)"/>
    <w:basedOn w:val="Normal"/>
    <w:rsid w:val="009B713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9B713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9B713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9B713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9B713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9B713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9B713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9B713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9B7138"/>
    <w:pPr>
      <w:numPr>
        <w:numId w:val="32"/>
      </w:numPr>
    </w:pPr>
  </w:style>
  <w:style w:type="paragraph" w:customStyle="1" w:styleId="Bullet1">
    <w:name w:val="Bullet 1"/>
    <w:basedOn w:val="Normal"/>
    <w:rsid w:val="009B7138"/>
    <w:pPr>
      <w:numPr>
        <w:numId w:val="33"/>
      </w:numPr>
    </w:pPr>
  </w:style>
  <w:style w:type="paragraph" w:customStyle="1" w:styleId="Bullet2">
    <w:name w:val="Bullet 2"/>
    <w:basedOn w:val="Normal"/>
    <w:rsid w:val="009B7138"/>
    <w:pPr>
      <w:numPr>
        <w:numId w:val="34"/>
      </w:numPr>
    </w:pPr>
  </w:style>
  <w:style w:type="paragraph" w:customStyle="1" w:styleId="Bullet3">
    <w:name w:val="Bullet 3"/>
    <w:basedOn w:val="Normal"/>
    <w:rsid w:val="009B7138"/>
    <w:pPr>
      <w:numPr>
        <w:numId w:val="35"/>
      </w:numPr>
    </w:pPr>
  </w:style>
  <w:style w:type="paragraph" w:customStyle="1" w:styleId="Bullet4">
    <w:name w:val="Bullet 4"/>
    <w:basedOn w:val="Normal"/>
    <w:rsid w:val="009B713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9B713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9B713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9B713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9B713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9B7138"/>
    <w:pPr>
      <w:spacing w:before="0" w:after="0"/>
    </w:pPr>
  </w:style>
  <w:style w:type="paragraph" w:customStyle="1" w:styleId="Disclaimer">
    <w:name w:val="Disclaimer"/>
    <w:basedOn w:val="Normal"/>
    <w:rsid w:val="009B713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9B7138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9B713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9B713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9B713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9B713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9B713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9B713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9B713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9B713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9B7138"/>
    <w:pPr>
      <w:keepNext/>
    </w:pPr>
  </w:style>
  <w:style w:type="paragraph" w:customStyle="1" w:styleId="Institutionquiagit">
    <w:name w:val="Institution qui agit"/>
    <w:basedOn w:val="Normal"/>
    <w:next w:val="Normal"/>
    <w:rsid w:val="009B713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9B713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9B713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9B713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9B713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9B713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9B713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9B713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9B713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9B713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9B713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B713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B713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9B7138"/>
    <w:rPr>
      <w:i/>
      <w:caps/>
    </w:rPr>
  </w:style>
  <w:style w:type="paragraph" w:customStyle="1" w:styleId="Supertitre">
    <w:name w:val="Supertitre"/>
    <w:basedOn w:val="Normal"/>
    <w:next w:val="Normal"/>
    <w:rsid w:val="009B713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9B713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9B713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B713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B7138"/>
  </w:style>
  <w:style w:type="paragraph" w:customStyle="1" w:styleId="StatutPagedecouverture">
    <w:name w:val="Statut (Page de couverture)"/>
    <w:basedOn w:val="Statut"/>
    <w:next w:val="TypedudocumentPagedecouverture"/>
    <w:rsid w:val="009B7138"/>
  </w:style>
  <w:style w:type="paragraph" w:customStyle="1" w:styleId="TitreobjetPagedecouverture">
    <w:name w:val="Titre objet (Page de couverture)"/>
    <w:basedOn w:val="Titreobjet"/>
    <w:next w:val="IntrtEEEPagedecouverture"/>
    <w:rsid w:val="009B713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B7138"/>
  </w:style>
  <w:style w:type="paragraph" w:customStyle="1" w:styleId="Volume">
    <w:name w:val="Volum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9B7138"/>
    <w:pPr>
      <w:spacing w:after="240"/>
    </w:pPr>
  </w:style>
  <w:style w:type="paragraph" w:customStyle="1" w:styleId="Accompagnant">
    <w:name w:val="Accompagnant"/>
    <w:basedOn w:val="Normal"/>
    <w:next w:val="Typeacteprincipal"/>
    <w:rsid w:val="009B713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9B713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9B713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9B7138"/>
  </w:style>
  <w:style w:type="paragraph" w:customStyle="1" w:styleId="AccompagnantPagedecouverture">
    <w:name w:val="Accompagnant (Page de couverture)"/>
    <w:basedOn w:val="Accompagnant"/>
    <w:next w:val="TypeacteprincipalPagedecouverture"/>
    <w:rsid w:val="009B713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B7138"/>
  </w:style>
  <w:style w:type="paragraph" w:customStyle="1" w:styleId="ObjetacteprincipalPagedecouverture">
    <w:name w:val="Objet acte principal (Page de couverture)"/>
    <w:basedOn w:val="Objetacteprincipal"/>
    <w:next w:val="Rfrencecroise"/>
    <w:rsid w:val="009B7138"/>
  </w:style>
  <w:style w:type="paragraph" w:customStyle="1" w:styleId="LanguesfaisantfoiPagedecouverture">
    <w:name w:val="Langues faisant foi (Page de couverture)"/>
    <w:basedOn w:val="Normal"/>
    <w:next w:val="Normal"/>
    <w:rsid w:val="009B713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l-tattoo.net/Documents/PDF/eu_resap_2003_2.pdf" TargetMode="External"/><Relationship Id="rId2" Type="http://schemas.openxmlformats.org/officeDocument/2006/relationships/hyperlink" Target="https://ec.europa.eu/consumers/consumers_safety/safety_products/rapex/alerts/repository/content/pages/rapex/index_en.htm" TargetMode="External"/><Relationship Id="rId1" Type="http://schemas.openxmlformats.org/officeDocument/2006/relationships/hyperlink" Target="https://ec.europa.eu/jrc/en/publication/eur-scientific-and-technical-research-reports/safety-tattoos-and-permanent-make-final-report" TargetMode="External"/><Relationship Id="rId5" Type="http://schemas.openxmlformats.org/officeDocument/2006/relationships/hyperlink" Target="https://echa.europa.eu/documents/10162/6f739150-39db-7e2c-d07d-caf8fb81d153%20" TargetMode="External"/><Relationship Id="rId4" Type="http://schemas.openxmlformats.org/officeDocument/2006/relationships/hyperlink" Target="https://rm.coe.int/16805d3d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DE0508-BE7E-43E6-BCE7-B450AC5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10</Pages>
  <Words>4411</Words>
  <Characters>23910</Characters>
  <Application>Microsoft Office Word</Application>
  <DocSecurity>0</DocSecurity>
  <Lines>379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2020-06-24T09:35:00Z</dcterms:created>
  <dcterms:modified xsi:type="dcterms:W3CDTF">2020-06-26T07:07:00Z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DQCStatus">
    <vt:lpwstr>Yellow (DQC version 03)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LWTemplateID">
    <vt:lpwstr>SJ-001</vt:lpwstr>
  </property>
</Properties>
</file>