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1C88" w14:textId="77777777" w:rsidR="004E3A10" w:rsidRPr="006F7998" w:rsidRDefault="004E3A10" w:rsidP="004E3A10">
      <w:pPr>
        <w:pStyle w:val="Date"/>
        <w:ind w:right="-454"/>
        <w:jc w:val="right"/>
        <w:rPr>
          <w:rFonts w:ascii="Verdana" w:hAnsi="Verdana"/>
          <w:sz w:val="20"/>
        </w:rPr>
      </w:pPr>
      <w:bookmarkStart w:id="0" w:name="_Toc251834888"/>
    </w:p>
    <w:p w14:paraId="4AE55B7B" w14:textId="3DA02904" w:rsidR="004E3A10" w:rsidRPr="00812AAC" w:rsidRDefault="004E3A10" w:rsidP="004E3A10">
      <w:pPr>
        <w:pStyle w:val="Date"/>
        <w:ind w:right="-454"/>
        <w:jc w:val="right"/>
        <w:rPr>
          <w:rFonts w:ascii="Verdana" w:hAnsi="Verdana"/>
          <w:sz w:val="20"/>
          <w:lang w:val="fi-FI"/>
        </w:rPr>
      </w:pPr>
      <w:r w:rsidRPr="00812AAC">
        <w:rPr>
          <w:rFonts w:ascii="Verdana" w:hAnsi="Verdana"/>
          <w:sz w:val="20"/>
          <w:lang w:val="fi-FI"/>
        </w:rPr>
        <w:t xml:space="preserve">Helsinki, </w:t>
      </w:r>
      <w:r w:rsidR="00074E4A">
        <w:rPr>
          <w:rFonts w:ascii="Verdana" w:hAnsi="Verdana"/>
          <w:sz w:val="20"/>
          <w:lang w:val="fi-FI"/>
        </w:rPr>
        <w:t>28</w:t>
      </w:r>
      <w:r w:rsidRPr="00812AAC">
        <w:rPr>
          <w:rFonts w:ascii="Verdana" w:hAnsi="Verdana"/>
          <w:sz w:val="20"/>
          <w:lang w:val="fi-FI"/>
        </w:rPr>
        <w:t>/</w:t>
      </w:r>
      <w:r w:rsidR="00074E4A">
        <w:rPr>
          <w:rFonts w:ascii="Verdana" w:hAnsi="Verdana"/>
          <w:sz w:val="20"/>
          <w:lang w:val="fi-FI"/>
        </w:rPr>
        <w:t>10</w:t>
      </w:r>
      <w:r w:rsidRPr="00812AAC">
        <w:rPr>
          <w:rFonts w:ascii="Verdana" w:hAnsi="Verdana"/>
          <w:sz w:val="20"/>
          <w:lang w:val="fi-FI"/>
        </w:rPr>
        <w:t>/2020</w:t>
      </w:r>
    </w:p>
    <w:p w14:paraId="5BF361DD" w14:textId="5E465529" w:rsidR="004E3A10" w:rsidRPr="00812AAC" w:rsidRDefault="004E3A10" w:rsidP="004E3A10">
      <w:pPr>
        <w:pStyle w:val="References"/>
        <w:ind w:right="-454"/>
        <w:jc w:val="right"/>
        <w:rPr>
          <w:rFonts w:ascii="Verdana" w:hAnsi="Verdana"/>
          <w:b/>
          <w:lang w:val="fi-FI"/>
        </w:rPr>
      </w:pPr>
      <w:r w:rsidRPr="00812AAC">
        <w:rPr>
          <w:rFonts w:ascii="Verdana" w:hAnsi="Verdana"/>
          <w:lang w:val="fi-FI"/>
        </w:rPr>
        <w:t xml:space="preserve">Doc. </w:t>
      </w:r>
      <w:r w:rsidRPr="00812AAC">
        <w:rPr>
          <w:rFonts w:ascii="Verdana" w:hAnsi="Verdana"/>
          <w:b/>
          <w:lang w:val="fi-FI"/>
        </w:rPr>
        <w:t>CA/</w:t>
      </w:r>
      <w:r w:rsidR="00074E4A">
        <w:rPr>
          <w:rFonts w:ascii="Verdana" w:hAnsi="Verdana"/>
          <w:b/>
          <w:lang w:val="fi-FI"/>
        </w:rPr>
        <w:t>66</w:t>
      </w:r>
      <w:r w:rsidRPr="00812AAC">
        <w:rPr>
          <w:rFonts w:ascii="Verdana" w:hAnsi="Verdana"/>
          <w:b/>
          <w:lang w:val="fi-FI"/>
        </w:rPr>
        <w:t>/2020</w:t>
      </w:r>
    </w:p>
    <w:p w14:paraId="22FE2F82" w14:textId="77777777" w:rsidR="004E3A10" w:rsidRPr="00812AAC" w:rsidRDefault="004E3A10" w:rsidP="004E3A10">
      <w:pPr>
        <w:rPr>
          <w:b/>
          <w:smallCaps/>
          <w:sz w:val="22"/>
          <w:szCs w:val="22"/>
          <w:lang w:val="fi-FI"/>
        </w:rPr>
      </w:pPr>
    </w:p>
    <w:p w14:paraId="0C714800" w14:textId="2E3106AA" w:rsidR="004E3A10" w:rsidRPr="006F7998" w:rsidRDefault="004E3A10" w:rsidP="004E3A10">
      <w:pPr>
        <w:jc w:val="center"/>
        <w:rPr>
          <w:b/>
          <w:color w:val="0046AD"/>
          <w:sz w:val="28"/>
          <w:szCs w:val="22"/>
        </w:rPr>
      </w:pPr>
      <w:r w:rsidRPr="0051317F">
        <w:rPr>
          <w:b/>
          <w:color w:val="0046AD"/>
          <w:sz w:val="28"/>
          <w:szCs w:val="22"/>
        </w:rPr>
        <w:t>3</w:t>
      </w:r>
      <w:r w:rsidR="00B93B6C" w:rsidRPr="0051317F">
        <w:rPr>
          <w:b/>
          <w:color w:val="0046AD"/>
          <w:sz w:val="28"/>
          <w:szCs w:val="22"/>
        </w:rPr>
        <w:t>7</w:t>
      </w:r>
      <w:r w:rsidRPr="0051317F">
        <w:rPr>
          <w:b/>
          <w:color w:val="0046AD"/>
          <w:sz w:val="28"/>
          <w:szCs w:val="22"/>
        </w:rPr>
        <w:t>th</w:t>
      </w:r>
      <w:r w:rsidRPr="006F7998">
        <w:rPr>
          <w:b/>
          <w:color w:val="0046AD"/>
          <w:sz w:val="28"/>
          <w:szCs w:val="22"/>
        </w:rPr>
        <w:t xml:space="preserve"> Meeting of Competent Authorities</w:t>
      </w:r>
    </w:p>
    <w:p w14:paraId="70E3DD32" w14:textId="77777777" w:rsidR="004E3A10" w:rsidRPr="006F7998" w:rsidRDefault="004E3A10" w:rsidP="004E3A10">
      <w:pPr>
        <w:jc w:val="center"/>
        <w:rPr>
          <w:b/>
          <w:color w:val="0046AD"/>
          <w:sz w:val="28"/>
          <w:szCs w:val="22"/>
        </w:rPr>
      </w:pPr>
      <w:r w:rsidRPr="006F7998">
        <w:rPr>
          <w:b/>
          <w:color w:val="0046AD"/>
          <w:sz w:val="28"/>
          <w:szCs w:val="22"/>
        </w:rPr>
        <w:t>for REACH and CLP</w:t>
      </w:r>
    </w:p>
    <w:p w14:paraId="70A9C604" w14:textId="77777777" w:rsidR="004E3A10" w:rsidRPr="006F7998" w:rsidRDefault="004E3A10" w:rsidP="004E3A10">
      <w:pPr>
        <w:jc w:val="center"/>
        <w:rPr>
          <w:b/>
          <w:color w:val="0046AD"/>
          <w:sz w:val="28"/>
          <w:szCs w:val="22"/>
        </w:rPr>
      </w:pPr>
      <w:r w:rsidRPr="006F7998">
        <w:rPr>
          <w:b/>
          <w:color w:val="0046AD"/>
          <w:sz w:val="28"/>
          <w:szCs w:val="22"/>
        </w:rPr>
        <w:t>Competent Authorities' Session</w:t>
      </w:r>
    </w:p>
    <w:p w14:paraId="3C1E7539" w14:textId="7C030973" w:rsidR="004E3A10" w:rsidRPr="006F7998" w:rsidRDefault="00812AAC" w:rsidP="004E3A10">
      <w:pPr>
        <w:jc w:val="center"/>
        <w:rPr>
          <w:b/>
          <w:color w:val="0046AD"/>
          <w:sz w:val="28"/>
          <w:szCs w:val="22"/>
        </w:rPr>
      </w:pPr>
      <w:r>
        <w:rPr>
          <w:b/>
          <w:color w:val="0046AD"/>
          <w:sz w:val="28"/>
          <w:szCs w:val="22"/>
        </w:rPr>
        <w:t>17-18 November</w:t>
      </w:r>
      <w:r w:rsidR="004E3A10" w:rsidRPr="006F7998">
        <w:rPr>
          <w:b/>
          <w:color w:val="0046AD"/>
          <w:sz w:val="28"/>
          <w:szCs w:val="22"/>
        </w:rPr>
        <w:t xml:space="preserve"> 2020</w:t>
      </w:r>
    </w:p>
    <w:p w14:paraId="7783E997" w14:textId="77777777" w:rsidR="004E3A10" w:rsidRPr="006F7998" w:rsidRDefault="004E3A10" w:rsidP="004E3A10">
      <w:pPr>
        <w:jc w:val="center"/>
        <w:rPr>
          <w:b/>
          <w:color w:val="0046AD"/>
          <w:sz w:val="28"/>
          <w:szCs w:val="22"/>
        </w:rPr>
      </w:pPr>
    </w:p>
    <w:p w14:paraId="1AA5368D" w14:textId="77777777" w:rsidR="004E3A10" w:rsidRPr="006F7998" w:rsidRDefault="004E3A10" w:rsidP="004E3A10">
      <w:pPr>
        <w:jc w:val="center"/>
        <w:rPr>
          <w:b/>
          <w:color w:val="0046AD"/>
          <w:sz w:val="28"/>
          <w:szCs w:val="22"/>
        </w:rPr>
      </w:pPr>
    </w:p>
    <w:p w14:paraId="46F0BA8E" w14:textId="77777777" w:rsidR="004E3A10" w:rsidRPr="006F7998" w:rsidRDefault="004E3A10" w:rsidP="004E3A10">
      <w:pPr>
        <w:jc w:val="center"/>
        <w:rPr>
          <w:sz w:val="22"/>
          <w:szCs w:val="22"/>
        </w:rPr>
      </w:pPr>
    </w:p>
    <w:p w14:paraId="38951B97" w14:textId="1746D5B4" w:rsidR="004E3A10" w:rsidRPr="006F7998" w:rsidRDefault="004E3A10" w:rsidP="00DC05BF">
      <w:pPr>
        <w:ind w:left="3600" w:hanging="3600"/>
        <w:rPr>
          <w:sz w:val="18"/>
          <w:szCs w:val="18"/>
        </w:rPr>
      </w:pPr>
      <w:r w:rsidRPr="006F7998">
        <w:rPr>
          <w:color w:val="0046AD"/>
          <w:sz w:val="22"/>
          <w:szCs w:val="22"/>
        </w:rPr>
        <w:t>Concerns:</w:t>
      </w:r>
      <w:r w:rsidRPr="006F7998">
        <w:rPr>
          <w:b/>
          <w:color w:val="0046AD"/>
          <w:sz w:val="22"/>
          <w:szCs w:val="22"/>
        </w:rPr>
        <w:tab/>
      </w:r>
      <w:r w:rsidR="00DC05BF" w:rsidRPr="006F7998">
        <w:rPr>
          <w:b/>
          <w:sz w:val="22"/>
          <w:szCs w:val="22"/>
        </w:rPr>
        <w:t>Revocation of registration decisions</w:t>
      </w:r>
    </w:p>
    <w:p w14:paraId="4B504BB8" w14:textId="77777777" w:rsidR="004E3A10" w:rsidRPr="006F7998" w:rsidRDefault="004E3A10" w:rsidP="004E3A10">
      <w:pPr>
        <w:ind w:left="2127" w:hanging="2127"/>
        <w:rPr>
          <w:b/>
          <w:sz w:val="22"/>
          <w:szCs w:val="22"/>
        </w:rPr>
      </w:pPr>
    </w:p>
    <w:p w14:paraId="62759FD8" w14:textId="620702E8" w:rsidR="004E3A10" w:rsidRPr="006F7998" w:rsidRDefault="004E3A10" w:rsidP="004E3A10">
      <w:pPr>
        <w:ind w:left="2160" w:hanging="2160"/>
        <w:rPr>
          <w:sz w:val="18"/>
          <w:szCs w:val="18"/>
        </w:rPr>
      </w:pPr>
      <w:r w:rsidRPr="006F7998">
        <w:rPr>
          <w:color w:val="0046AD"/>
          <w:sz w:val="22"/>
          <w:szCs w:val="22"/>
        </w:rPr>
        <w:t>Agenda point:</w:t>
      </w:r>
      <w:r w:rsidRPr="006F7998">
        <w:rPr>
          <w:color w:val="0046AD"/>
          <w:sz w:val="22"/>
          <w:szCs w:val="22"/>
        </w:rPr>
        <w:tab/>
      </w:r>
      <w:r w:rsidRPr="006F7998">
        <w:rPr>
          <w:b/>
          <w:color w:val="0046AD"/>
          <w:sz w:val="22"/>
          <w:szCs w:val="22"/>
        </w:rPr>
        <w:tab/>
      </w:r>
      <w:r w:rsidRPr="006F7998">
        <w:rPr>
          <w:b/>
          <w:color w:val="0046AD"/>
          <w:sz w:val="22"/>
          <w:szCs w:val="22"/>
        </w:rPr>
        <w:tab/>
      </w:r>
      <w:r w:rsidRPr="006F7998">
        <w:rPr>
          <w:i/>
          <w:sz w:val="22"/>
          <w:szCs w:val="22"/>
        </w:rPr>
        <w:t xml:space="preserve">Point </w:t>
      </w:r>
      <w:r w:rsidR="00AF5BB9" w:rsidRPr="00074E4A">
        <w:rPr>
          <w:i/>
          <w:sz w:val="22"/>
          <w:szCs w:val="22"/>
        </w:rPr>
        <w:t>9</w:t>
      </w:r>
      <w:r w:rsidRPr="00074E4A">
        <w:rPr>
          <w:i/>
          <w:sz w:val="22"/>
          <w:szCs w:val="22"/>
        </w:rPr>
        <w:t>.</w:t>
      </w:r>
      <w:r w:rsidR="00AF5BB9" w:rsidRPr="00074E4A">
        <w:rPr>
          <w:i/>
          <w:sz w:val="22"/>
          <w:szCs w:val="22"/>
        </w:rPr>
        <w:t>1</w:t>
      </w:r>
      <w:r w:rsidRPr="006F7998">
        <w:rPr>
          <w:i/>
          <w:sz w:val="22"/>
          <w:szCs w:val="22"/>
        </w:rPr>
        <w:t xml:space="preserve"> </w:t>
      </w:r>
    </w:p>
    <w:p w14:paraId="5581FEAE" w14:textId="77777777" w:rsidR="004E3A10" w:rsidRPr="006F7998" w:rsidRDefault="004E3A10" w:rsidP="004E3A10">
      <w:pPr>
        <w:rPr>
          <w:b/>
          <w:sz w:val="22"/>
          <w:szCs w:val="22"/>
        </w:rPr>
      </w:pPr>
    </w:p>
    <w:p w14:paraId="7714318C" w14:textId="77777777" w:rsidR="004E3A10" w:rsidRPr="006F7998" w:rsidRDefault="004E3A10" w:rsidP="004E3A10">
      <w:pPr>
        <w:rPr>
          <w:b/>
          <w:sz w:val="22"/>
          <w:szCs w:val="22"/>
        </w:rPr>
      </w:pPr>
      <w:r w:rsidRPr="006F7998">
        <w:rPr>
          <w:color w:val="0046AD"/>
          <w:sz w:val="22"/>
          <w:szCs w:val="22"/>
        </w:rPr>
        <w:t>Session:</w:t>
      </w:r>
      <w:r w:rsidRPr="006F7998">
        <w:rPr>
          <w:rFonts w:cs="Arial"/>
        </w:rPr>
        <w:tab/>
      </w:r>
      <w:r w:rsidRPr="006F7998">
        <w:rPr>
          <w:rFonts w:cs="Arial"/>
        </w:rPr>
        <w:tab/>
      </w:r>
      <w:r w:rsidRPr="006F7998">
        <w:rPr>
          <w:rFonts w:cs="Arial"/>
        </w:rPr>
        <w:tab/>
      </w:r>
      <w:r w:rsidRPr="006F7998">
        <w:rPr>
          <w:rFonts w:cs="Arial"/>
        </w:rPr>
        <w:tab/>
      </w:r>
      <w:sdt>
        <w:sdtPr>
          <w:rPr>
            <w:rFonts w:cs="Arial"/>
          </w:rPr>
          <w:alias w:val="Session"/>
          <w:tag w:val="Session"/>
          <w:id w:val="-72438491"/>
          <w:placeholder>
            <w:docPart w:val="9203F7EAE5EE47249A7D791F58660F43"/>
          </w:placeholder>
          <w:dropDownList>
            <w:listItem w:value="Choose an item."/>
            <w:listItem w:displayText="REACH" w:value="REACH"/>
            <w:listItem w:displayText="CLP" w:value="CLP"/>
          </w:dropDownList>
        </w:sdtPr>
        <w:sdtEndPr/>
        <w:sdtContent>
          <w:r w:rsidRPr="006F7998">
            <w:rPr>
              <w:rFonts w:cs="Arial"/>
            </w:rPr>
            <w:t>REACH</w:t>
          </w:r>
        </w:sdtContent>
      </w:sdt>
    </w:p>
    <w:p w14:paraId="5CBDCDFB" w14:textId="77777777" w:rsidR="004E3A10" w:rsidRPr="006F7998" w:rsidRDefault="004E3A10" w:rsidP="004E3A10">
      <w:pPr>
        <w:tabs>
          <w:tab w:val="left" w:pos="2835"/>
        </w:tabs>
        <w:ind w:left="2835" w:hanging="2835"/>
        <w:rPr>
          <w:b/>
          <w:color w:val="0046AD"/>
          <w:sz w:val="22"/>
          <w:szCs w:val="22"/>
        </w:rPr>
      </w:pPr>
    </w:p>
    <w:p w14:paraId="7893F56A" w14:textId="16C12462" w:rsidR="004E3A10" w:rsidRPr="006F7998" w:rsidRDefault="004E3A10" w:rsidP="00074E4A">
      <w:pPr>
        <w:tabs>
          <w:tab w:val="left" w:pos="3686"/>
        </w:tabs>
        <w:ind w:left="2835" w:hanging="2835"/>
        <w:rPr>
          <w:b/>
          <w:color w:val="0046AD"/>
          <w:sz w:val="22"/>
          <w:szCs w:val="22"/>
        </w:rPr>
      </w:pPr>
      <w:r w:rsidRPr="006F7998">
        <w:rPr>
          <w:color w:val="0046AD"/>
          <w:sz w:val="22"/>
          <w:szCs w:val="22"/>
        </w:rPr>
        <w:t xml:space="preserve">Action </w:t>
      </w:r>
      <w:proofErr w:type="gramStart"/>
      <w:r w:rsidRPr="006F7998">
        <w:rPr>
          <w:color w:val="0046AD"/>
          <w:sz w:val="22"/>
          <w:szCs w:val="22"/>
        </w:rPr>
        <w:t>requested:</w:t>
      </w:r>
      <w:bookmarkEnd w:id="0"/>
      <w:proofErr w:type="gramEnd"/>
      <w:r w:rsidRPr="006F7998">
        <w:rPr>
          <w:b/>
          <w:color w:val="0046AD"/>
          <w:sz w:val="22"/>
          <w:szCs w:val="22"/>
        </w:rPr>
        <w:tab/>
      </w:r>
      <w:r w:rsidR="00D55353">
        <w:rPr>
          <w:b/>
          <w:color w:val="0046AD"/>
          <w:sz w:val="22"/>
          <w:szCs w:val="22"/>
        </w:rPr>
        <w:tab/>
      </w:r>
      <w:sdt>
        <w:sdtPr>
          <w:rPr>
            <w:sz w:val="22"/>
            <w:szCs w:val="22"/>
          </w:rPr>
          <w:alias w:val="Action"/>
          <w:tag w:val="Action"/>
          <w:id w:val="104310813"/>
          <w:placeholder>
            <w:docPart w:val="BD04C775C2CB4D6388FDF83AA98D47FD"/>
          </w:placeholder>
          <w:dropDownList>
            <w:listItem w:value="Choose an item."/>
            <w:listItem w:displayText="Member State Competent authorities are invited to discuss" w:value="Member State Competent authorities are invited to discuss"/>
            <w:listItem w:displayText="Member State Competent authorities are invited to endorse" w:value="Member State Competent authorities are invited to endorse"/>
            <w:listItem w:displayText="Member State Competent authorities are invited to take note of" w:value="Member State Competent authorities are invited to take note of"/>
          </w:dropDownList>
        </w:sdtPr>
        <w:sdtEndPr/>
        <w:sdtContent>
          <w:r w:rsidR="00D55353">
            <w:rPr>
              <w:sz w:val="22"/>
              <w:szCs w:val="22"/>
            </w:rPr>
            <w:t>Member State Competent authorities are invited to endorse</w:t>
          </w:r>
        </w:sdtContent>
      </w:sdt>
      <w:r w:rsidR="00D55353">
        <w:rPr>
          <w:sz w:val="22"/>
          <w:szCs w:val="22"/>
        </w:rPr>
        <w:t xml:space="preserve"> the </w:t>
      </w:r>
      <w:r w:rsidR="00AF5BB9">
        <w:rPr>
          <w:sz w:val="22"/>
          <w:szCs w:val="22"/>
        </w:rPr>
        <w:t>proposed approach</w:t>
      </w:r>
    </w:p>
    <w:p w14:paraId="280CE679" w14:textId="77777777" w:rsidR="004E3A10" w:rsidRPr="006F7998" w:rsidRDefault="004E3A10" w:rsidP="004E3A10">
      <w:pPr>
        <w:rPr>
          <w:rFonts w:cs="Arial"/>
        </w:rPr>
      </w:pPr>
    </w:p>
    <w:p w14:paraId="2CE1D845" w14:textId="6F329858" w:rsidR="00AF5BB9" w:rsidRDefault="00AF5BB9">
      <w:pPr>
        <w:widowControl/>
        <w:spacing w:after="200" w:line="276" w:lineRule="auto"/>
        <w:rPr>
          <w:b/>
          <w:color w:val="0046AD"/>
          <w:sz w:val="28"/>
          <w:szCs w:val="24"/>
        </w:rPr>
      </w:pPr>
      <w:r>
        <w:br w:type="page"/>
      </w:r>
      <w:bookmarkStart w:id="1" w:name="_GoBack"/>
      <w:bookmarkEnd w:id="1"/>
    </w:p>
    <w:p w14:paraId="7993A7B0" w14:textId="56D10CB8" w:rsidR="00491A3A" w:rsidRPr="006F7998" w:rsidRDefault="00812AAC" w:rsidP="00AA5D64">
      <w:pPr>
        <w:pStyle w:val="Heading1"/>
        <w:numPr>
          <w:ilvl w:val="0"/>
          <w:numId w:val="0"/>
        </w:numPr>
      </w:pPr>
      <w:r>
        <w:lastRenderedPageBreak/>
        <w:t>Revocation of registration decisions</w:t>
      </w:r>
    </w:p>
    <w:p w14:paraId="7C8AE293" w14:textId="77777777" w:rsidR="00812AAC" w:rsidRPr="006F7998" w:rsidRDefault="00812AAC" w:rsidP="00812AAC">
      <w:pPr>
        <w:pStyle w:val="Heading1"/>
        <w:jc w:val="both"/>
      </w:pPr>
      <w:bookmarkStart w:id="2" w:name="_Hlk51855218"/>
      <w:r w:rsidRPr="006F7998">
        <w:t>Introduction</w:t>
      </w:r>
    </w:p>
    <w:p w14:paraId="4C75774B" w14:textId="02C02519" w:rsidR="009C5630" w:rsidRDefault="00812AAC" w:rsidP="00812AAC">
      <w:pPr>
        <w:pStyle w:val="BodyText"/>
        <w:jc w:val="both"/>
      </w:pPr>
      <w:r w:rsidRPr="006F7998">
        <w:t xml:space="preserve">This </w:t>
      </w:r>
      <w:r>
        <w:t>paper</w:t>
      </w:r>
      <w:r w:rsidRPr="006F7998">
        <w:t xml:space="preserve"> </w:t>
      </w:r>
      <w:r>
        <w:t>describes</w:t>
      </w:r>
      <w:r w:rsidRPr="006F7998">
        <w:t xml:space="preserve"> the different situations under which ECHA revoke</w:t>
      </w:r>
      <w:r w:rsidR="005E3C22">
        <w:t>s</w:t>
      </w:r>
      <w:r w:rsidRPr="006F7998">
        <w:t xml:space="preserve"> registration decisions</w:t>
      </w:r>
      <w:r w:rsidR="00576C96">
        <w:t>, and how information on registration numbers that are no longer valid is available on ECHA’s website.</w:t>
      </w:r>
    </w:p>
    <w:p w14:paraId="00041263" w14:textId="1BCED71A" w:rsidR="00576C96" w:rsidRDefault="00E27981" w:rsidP="00812AAC">
      <w:pPr>
        <w:pStyle w:val="BodyText"/>
        <w:jc w:val="both"/>
      </w:pPr>
      <w:r>
        <w:t xml:space="preserve">It also </w:t>
      </w:r>
      <w:r w:rsidR="005E3C22">
        <w:t xml:space="preserve">clarifies that </w:t>
      </w:r>
      <w:r w:rsidR="0084174B">
        <w:t xml:space="preserve">based on the current legal text </w:t>
      </w:r>
      <w:r w:rsidR="00414F01">
        <w:t xml:space="preserve">ECHA cannot revoke </w:t>
      </w:r>
      <w:r w:rsidR="005E3C22">
        <w:t>registration decisions of companies that fail to comply with a final evaluation decision</w:t>
      </w:r>
      <w:r w:rsidR="00E1794E">
        <w:t>.</w:t>
      </w:r>
    </w:p>
    <w:p w14:paraId="5492C3B1" w14:textId="39A25978" w:rsidR="00812AAC" w:rsidRPr="006F7998" w:rsidRDefault="00E27981" w:rsidP="00812AAC">
      <w:pPr>
        <w:pStyle w:val="Heading1"/>
        <w:jc w:val="both"/>
      </w:pPr>
      <w:r w:rsidRPr="006F7998" w:rsidDel="00E27981">
        <w:t xml:space="preserve"> </w:t>
      </w:r>
      <w:r w:rsidR="00812AAC">
        <w:t>Revocations</w:t>
      </w:r>
    </w:p>
    <w:p w14:paraId="314D84ED" w14:textId="68017777" w:rsidR="005E26E5" w:rsidRDefault="005E26E5" w:rsidP="00AE5D87">
      <w:pPr>
        <w:jc w:val="both"/>
        <w:rPr>
          <w:color w:val="000000"/>
        </w:rPr>
      </w:pPr>
      <w:r>
        <w:t xml:space="preserve">There are </w:t>
      </w:r>
      <w:r w:rsidR="00154AE3">
        <w:t>several</w:t>
      </w:r>
      <w:r>
        <w:t xml:space="preserve"> requirements a registrant must meet to</w:t>
      </w:r>
      <w:r w:rsidRPr="002F2D17">
        <w:t xml:space="preserve"> </w:t>
      </w:r>
      <w:r>
        <w:t>receive</w:t>
      </w:r>
      <w:r w:rsidRPr="002F2D17">
        <w:t xml:space="preserve"> a </w:t>
      </w:r>
      <w:r>
        <w:t xml:space="preserve">positive </w:t>
      </w:r>
      <w:r w:rsidRPr="002F2D17">
        <w:t xml:space="preserve">registration </w:t>
      </w:r>
      <w:r>
        <w:t xml:space="preserve">decision with a registration number. Most of these requirements are checked upfront by ECHA, in the completeness check, before assigning a registration number. </w:t>
      </w:r>
      <w:r w:rsidRPr="001F40A1">
        <w:rPr>
          <w:color w:val="000000"/>
        </w:rPr>
        <w:t xml:space="preserve">In some </w:t>
      </w:r>
      <w:r>
        <w:rPr>
          <w:color w:val="000000"/>
        </w:rPr>
        <w:t>cases,</w:t>
      </w:r>
      <w:r w:rsidRPr="001F40A1">
        <w:rPr>
          <w:color w:val="000000"/>
        </w:rPr>
        <w:t xml:space="preserve"> </w:t>
      </w:r>
      <w:r>
        <w:rPr>
          <w:color w:val="000000"/>
        </w:rPr>
        <w:t xml:space="preserve">ECHA verifies that registrants meet these requirements after they have </w:t>
      </w:r>
      <w:r w:rsidRPr="001F40A1">
        <w:rPr>
          <w:color w:val="000000"/>
        </w:rPr>
        <w:t xml:space="preserve">received </w:t>
      </w:r>
      <w:r>
        <w:rPr>
          <w:color w:val="000000"/>
        </w:rPr>
        <w:t>the</w:t>
      </w:r>
      <w:r w:rsidRPr="001F40A1">
        <w:rPr>
          <w:color w:val="000000"/>
        </w:rPr>
        <w:t xml:space="preserve"> registration number</w:t>
      </w:r>
      <w:r>
        <w:rPr>
          <w:color w:val="000000"/>
        </w:rPr>
        <w:t xml:space="preserve">. </w:t>
      </w:r>
    </w:p>
    <w:p w14:paraId="05F14ABF" w14:textId="77777777" w:rsidR="005E26E5" w:rsidRDefault="005E26E5" w:rsidP="00AE5D87">
      <w:pPr>
        <w:jc w:val="both"/>
        <w:rPr>
          <w:color w:val="000000"/>
        </w:rPr>
      </w:pPr>
    </w:p>
    <w:p w14:paraId="1BC3A11B" w14:textId="4768D170" w:rsidR="00E269C1" w:rsidRDefault="005E26E5" w:rsidP="00AE5D87">
      <w:pPr>
        <w:jc w:val="both"/>
        <w:rPr>
          <w:color w:val="000000"/>
        </w:rPr>
      </w:pPr>
      <w:r w:rsidRPr="001F40A1">
        <w:rPr>
          <w:color w:val="000000"/>
        </w:rPr>
        <w:t>I</w:t>
      </w:r>
      <w:r>
        <w:rPr>
          <w:color w:val="000000"/>
        </w:rPr>
        <w:t>f</w:t>
      </w:r>
      <w:r w:rsidRPr="001F40A1">
        <w:rPr>
          <w:color w:val="000000"/>
        </w:rPr>
        <w:t xml:space="preserve"> </w:t>
      </w:r>
      <w:r>
        <w:rPr>
          <w:color w:val="000000"/>
        </w:rPr>
        <w:t>the</w:t>
      </w:r>
      <w:r w:rsidRPr="001F40A1">
        <w:rPr>
          <w:color w:val="000000"/>
        </w:rPr>
        <w:t xml:space="preserve"> </w:t>
      </w:r>
      <w:r>
        <w:rPr>
          <w:color w:val="000000"/>
        </w:rPr>
        <w:t xml:space="preserve">registration is </w:t>
      </w:r>
      <w:r w:rsidR="002D5B74" w:rsidRPr="002D5B74">
        <w:rPr>
          <w:i/>
          <w:iCs/>
          <w:color w:val="000000"/>
        </w:rPr>
        <w:t>ex-post</w:t>
      </w:r>
      <w:r w:rsidR="002D5B74">
        <w:rPr>
          <w:color w:val="000000"/>
        </w:rPr>
        <w:t xml:space="preserve"> </w:t>
      </w:r>
      <w:r w:rsidRPr="001F40A1">
        <w:rPr>
          <w:color w:val="000000"/>
        </w:rPr>
        <w:t xml:space="preserve">found to </w:t>
      </w:r>
      <w:r>
        <w:rPr>
          <w:color w:val="000000"/>
        </w:rPr>
        <w:t>not (or no longer) satisfy the requirements</w:t>
      </w:r>
      <w:r w:rsidR="003B7BE8">
        <w:rPr>
          <w:color w:val="000000"/>
        </w:rPr>
        <w:t xml:space="preserve"> – for example </w:t>
      </w:r>
      <w:r w:rsidR="003B7BE8" w:rsidRPr="003B7BE8">
        <w:rPr>
          <w:color w:val="000000"/>
        </w:rPr>
        <w:t>that the registration was granted based on erroneous or incomplete information</w:t>
      </w:r>
      <w:r w:rsidR="003B7BE8">
        <w:rPr>
          <w:color w:val="000000"/>
        </w:rPr>
        <w:t xml:space="preserve"> –</w:t>
      </w:r>
      <w:r>
        <w:rPr>
          <w:color w:val="000000"/>
        </w:rPr>
        <w:t xml:space="preserve"> and the registrant does not correct</w:t>
      </w:r>
      <w:r w:rsidDel="00B91EAD">
        <w:rPr>
          <w:color w:val="000000"/>
        </w:rPr>
        <w:t xml:space="preserve"> </w:t>
      </w:r>
      <w:r>
        <w:rPr>
          <w:color w:val="000000"/>
        </w:rPr>
        <w:t>the situation within a given deadline,</w:t>
      </w:r>
      <w:r w:rsidRPr="001F40A1">
        <w:rPr>
          <w:color w:val="000000"/>
        </w:rPr>
        <w:t xml:space="preserve"> ECHA </w:t>
      </w:r>
      <w:r>
        <w:rPr>
          <w:color w:val="000000"/>
        </w:rPr>
        <w:t xml:space="preserve">has the competence to </w:t>
      </w:r>
      <w:r w:rsidRPr="001F40A1">
        <w:rPr>
          <w:color w:val="000000"/>
        </w:rPr>
        <w:t>revoke its previous registration decisio</w:t>
      </w:r>
      <w:r>
        <w:rPr>
          <w:color w:val="000000"/>
        </w:rPr>
        <w:t xml:space="preserve">n and the </w:t>
      </w:r>
      <w:r w:rsidRPr="001F40A1">
        <w:rPr>
          <w:color w:val="000000"/>
        </w:rPr>
        <w:t>registration number</w:t>
      </w:r>
      <w:r>
        <w:rPr>
          <w:color w:val="000000"/>
        </w:rPr>
        <w:t xml:space="preserve"> becomes invalid.</w:t>
      </w:r>
    </w:p>
    <w:p w14:paraId="705F82DB" w14:textId="1B2BFE34" w:rsidR="00E269C1" w:rsidRDefault="00E269C1" w:rsidP="00AE5D87">
      <w:pPr>
        <w:jc w:val="both"/>
        <w:rPr>
          <w:color w:val="000000"/>
        </w:rPr>
      </w:pPr>
    </w:p>
    <w:p w14:paraId="5591A20C" w14:textId="4EC832D1" w:rsidR="002D5B74" w:rsidRPr="006F7998" w:rsidRDefault="00E269C1">
      <w:pPr>
        <w:pStyle w:val="BodyText"/>
        <w:jc w:val="both"/>
      </w:pPr>
      <w:r w:rsidRPr="006F7998">
        <w:t>A registration is</w:t>
      </w:r>
      <w:r>
        <w:t xml:space="preserve"> also no longer valid when </w:t>
      </w:r>
      <w:r w:rsidRPr="006F7998">
        <w:t xml:space="preserve">the registrant notifies a cease of manufacture or import after the reception of a draft evaluation decision </w:t>
      </w:r>
      <w:r w:rsidR="00830A73">
        <w:t xml:space="preserve">as per </w:t>
      </w:r>
      <w:r w:rsidRPr="006F7998">
        <w:t>Article 50(3) of REACH.</w:t>
      </w:r>
    </w:p>
    <w:p w14:paraId="106A5F64" w14:textId="77777777" w:rsidR="00812AAC" w:rsidRPr="006F7998" w:rsidRDefault="00812AAC">
      <w:pPr>
        <w:pStyle w:val="BodyText"/>
        <w:jc w:val="both"/>
      </w:pPr>
      <w:r w:rsidRPr="006F7998">
        <w:t xml:space="preserve">The consequence </w:t>
      </w:r>
      <w:r>
        <w:t>in</w:t>
      </w:r>
      <w:r w:rsidRPr="006F7998">
        <w:t xml:space="preserve"> both cases is that the registration cannot be used to cover the manufacture and import of the substance</w:t>
      </w:r>
      <w:r>
        <w:t xml:space="preserve"> in the EEA</w:t>
      </w:r>
      <w:r w:rsidRPr="006F7998">
        <w:t xml:space="preserve">. </w:t>
      </w:r>
      <w:r>
        <w:t>W</w:t>
      </w:r>
      <w:r w:rsidRPr="006F7998">
        <w:t>ithout a valid registration number, registrants cannot legally manufacture or import the substance above 1 tonne per year.</w:t>
      </w:r>
    </w:p>
    <w:p w14:paraId="5BDA289D" w14:textId="7D574C59" w:rsidR="00812AAC" w:rsidRDefault="00812AAC">
      <w:pPr>
        <w:pStyle w:val="BodyText"/>
        <w:jc w:val="both"/>
      </w:pPr>
    </w:p>
    <w:p w14:paraId="5B54EC18" w14:textId="77777777" w:rsidR="00812AAC" w:rsidRPr="006F7998" w:rsidRDefault="00812AAC" w:rsidP="00812AAC">
      <w:pPr>
        <w:pStyle w:val="Heading2"/>
        <w:jc w:val="both"/>
      </w:pPr>
      <w:r>
        <w:t>Existing r</w:t>
      </w:r>
      <w:r w:rsidRPr="006F7998">
        <w:t>evocations</w:t>
      </w:r>
      <w:r>
        <w:t xml:space="preserve"> and revocations under development</w:t>
      </w:r>
    </w:p>
    <w:p w14:paraId="63F2457C" w14:textId="2B33A30F" w:rsidR="00812AAC" w:rsidRDefault="00812AAC" w:rsidP="00812AAC">
      <w:pPr>
        <w:pStyle w:val="BodyText"/>
        <w:jc w:val="both"/>
      </w:pPr>
      <w:r w:rsidRPr="006F7998">
        <w:t>Revocation is a powerful instrument</w:t>
      </w:r>
      <w:r>
        <w:t>. I</w:t>
      </w:r>
      <w:r w:rsidRPr="006F7998">
        <w:t xml:space="preserve">t is </w:t>
      </w:r>
      <w:r>
        <w:t>an appropriate</w:t>
      </w:r>
      <w:r w:rsidRPr="006F7998">
        <w:t xml:space="preserve"> </w:t>
      </w:r>
      <w:r>
        <w:t xml:space="preserve">tool </w:t>
      </w:r>
      <w:r w:rsidRPr="006F7998">
        <w:t xml:space="preserve">to address situations where </w:t>
      </w:r>
      <w:r>
        <w:t>requirements for registration are not satisfied</w:t>
      </w:r>
      <w:r w:rsidRPr="006F7998">
        <w:t xml:space="preserve"> in order to maintain a level playing field </w:t>
      </w:r>
      <w:r>
        <w:t>among</w:t>
      </w:r>
      <w:r w:rsidRPr="006F7998">
        <w:t xml:space="preserve"> companies. </w:t>
      </w:r>
    </w:p>
    <w:p w14:paraId="035CBA72" w14:textId="4B3768BF" w:rsidR="00812AAC" w:rsidRPr="006F7998" w:rsidRDefault="0062672F" w:rsidP="00812AAC">
      <w:pPr>
        <w:pStyle w:val="BodyText"/>
        <w:jc w:val="both"/>
      </w:pPr>
      <w:r>
        <w:t>Furthermore, by acting in</w:t>
      </w:r>
      <w:r w:rsidR="00C16454" w:rsidRPr="0062672F">
        <w:t xml:space="preserve"> these situations </w:t>
      </w:r>
      <w:r>
        <w:t>ECHA can</w:t>
      </w:r>
      <w:r w:rsidR="00C16454" w:rsidRPr="0062672F">
        <w:t xml:space="preserve"> support the well-functioning of the joint submission, and avoid that authorities use time and resources to evaluate these registrations</w:t>
      </w:r>
      <w:r w:rsidR="00C16454">
        <w:t>.</w:t>
      </w:r>
      <w:r w:rsidR="00C16454" w:rsidRPr="006F7998">
        <w:t xml:space="preserve"> Knowing which registrations are no longer valid will avoid unnecessary attempts to contact the registrant to share data, contribute to shared costs, request further information on the substance, perform SME verifications, carry out inspections, etc. Additionally, </w:t>
      </w:r>
      <w:r w:rsidR="00C16454">
        <w:t xml:space="preserve">with this work, </w:t>
      </w:r>
      <w:r w:rsidR="00C16454" w:rsidRPr="006F7998">
        <w:t xml:space="preserve">ECHA </w:t>
      </w:r>
      <w:r w:rsidR="00C16454">
        <w:t xml:space="preserve">is keeping the database of active registrations and registered substances </w:t>
      </w:r>
      <w:r w:rsidR="00C16454" w:rsidRPr="006F7998">
        <w:t>up to date.</w:t>
      </w:r>
    </w:p>
    <w:p w14:paraId="17694982" w14:textId="04B27C0E" w:rsidR="00812AAC" w:rsidRPr="006F7998" w:rsidRDefault="00812AAC" w:rsidP="00812AAC">
      <w:pPr>
        <w:pStyle w:val="BodyText"/>
        <w:jc w:val="both"/>
      </w:pPr>
      <w:r w:rsidRPr="006F7998">
        <w:t xml:space="preserve">The cases where ECHA </w:t>
      </w:r>
      <w:r w:rsidR="005B2697">
        <w:t>revokes</w:t>
      </w:r>
      <w:r w:rsidRPr="006F7998">
        <w:t xml:space="preserve"> a registration decision are</w:t>
      </w:r>
      <w:r w:rsidR="005B2697">
        <w:t xml:space="preserve"> the following</w:t>
      </w:r>
      <w:r w:rsidRPr="006F7998">
        <w:t>:</w:t>
      </w:r>
    </w:p>
    <w:p w14:paraId="3D35CC81" w14:textId="77777777" w:rsidR="00812AAC" w:rsidRPr="006F7998" w:rsidRDefault="00812AAC" w:rsidP="002D5B74">
      <w:pPr>
        <w:pStyle w:val="Heading3"/>
        <w:numPr>
          <w:ilvl w:val="0"/>
          <w:numId w:val="23"/>
        </w:numPr>
        <w:ind w:left="360"/>
        <w:jc w:val="both"/>
      </w:pPr>
      <w:r w:rsidRPr="006F7998">
        <w:t>Wrong declaration of company size</w:t>
      </w:r>
      <w:r>
        <w:t xml:space="preserve"> </w:t>
      </w:r>
    </w:p>
    <w:p w14:paraId="53F34741" w14:textId="77777777" w:rsidR="00812AAC" w:rsidRPr="006F7998" w:rsidRDefault="00812AAC" w:rsidP="002D5B74">
      <w:pPr>
        <w:pStyle w:val="BodyText"/>
        <w:jc w:val="both"/>
      </w:pPr>
      <w:r w:rsidRPr="006F7998">
        <w:t xml:space="preserve">Financial completeness of registration entails the payment of the registration fee in full. A </w:t>
      </w:r>
      <w:r w:rsidRPr="006F7998">
        <w:lastRenderedPageBreak/>
        <w:t xml:space="preserve">registrant is entitled to claim SME status and benefit from a discounted registration fee if they fulfil the criteria described in the Commission Recommendation 2003/361/EC. </w:t>
      </w:r>
    </w:p>
    <w:p w14:paraId="37017303" w14:textId="77777777" w:rsidR="00812AAC" w:rsidRPr="006F7998" w:rsidRDefault="00812AAC" w:rsidP="002D5B74">
      <w:pPr>
        <w:pStyle w:val="BodyText"/>
        <w:jc w:val="both"/>
      </w:pPr>
      <w:r w:rsidRPr="006F7998">
        <w:t>ECHA regularly performs a verification of the SME status claimed by registrants. If it is prove</w:t>
      </w:r>
      <w:r>
        <w:t>n</w:t>
      </w:r>
      <w:r w:rsidRPr="006F7998">
        <w:t xml:space="preserve"> that the registrant did not fulfil the criteria to benefit from the discounted registration fee, ECHA issues a top up invoice for the difference between the paid fee and the correct fee. Additionally, an invoice with an administrative charge for the verification carried out is issued.</w:t>
      </w:r>
    </w:p>
    <w:p w14:paraId="4DA6113B" w14:textId="27BA3E3B" w:rsidR="00812AAC" w:rsidRPr="006F7998" w:rsidRDefault="00AE5D87" w:rsidP="002D5B74">
      <w:pPr>
        <w:pStyle w:val="BodyText"/>
        <w:jc w:val="both"/>
        <w:rPr>
          <w:color w:val="000000"/>
        </w:rPr>
      </w:pPr>
      <w:r>
        <w:t>Article 20 of REACH</w:t>
      </w:r>
      <w:r w:rsidR="00812AAC">
        <w:t xml:space="preserve"> gives </w:t>
      </w:r>
      <w:r w:rsidR="00812AAC" w:rsidRPr="006F7998">
        <w:t xml:space="preserve">the competence </w:t>
      </w:r>
      <w:r w:rsidR="00812AAC">
        <w:t>to ECHA to not grant a registration number if the dossier is financially not complete. On that basis, i</w:t>
      </w:r>
      <w:r w:rsidR="00812AAC" w:rsidRPr="006F7998">
        <w:t xml:space="preserve">f a registrant does not pay the top up invoice issued by ECHA, their registration is considered incomplete due to lack of full payment of the registration fee, and ECHA </w:t>
      </w:r>
      <w:r w:rsidR="00812AAC">
        <w:t>revokes</w:t>
      </w:r>
      <w:r w:rsidR="00812AAC" w:rsidRPr="006F7998">
        <w:t xml:space="preserve"> the registration</w:t>
      </w:r>
      <w:r w:rsidR="00812AAC">
        <w:t xml:space="preserve"> decision</w:t>
      </w:r>
      <w:r w:rsidR="00812AAC" w:rsidRPr="006F7998">
        <w:t xml:space="preserve">. </w:t>
      </w:r>
      <w:r w:rsidR="00812AAC" w:rsidRPr="006F7998">
        <w:rPr>
          <w:color w:val="000000"/>
        </w:rPr>
        <w:t xml:space="preserve">To date, 267 registration </w:t>
      </w:r>
      <w:r w:rsidR="00812AAC">
        <w:rPr>
          <w:color w:val="000000"/>
        </w:rPr>
        <w:t xml:space="preserve">decisions </w:t>
      </w:r>
      <w:r w:rsidR="00812AAC" w:rsidRPr="006F7998">
        <w:rPr>
          <w:color w:val="000000"/>
        </w:rPr>
        <w:t xml:space="preserve">have been </w:t>
      </w:r>
      <w:r w:rsidR="00812AAC">
        <w:rPr>
          <w:color w:val="000000"/>
        </w:rPr>
        <w:t xml:space="preserve">revoked </w:t>
      </w:r>
      <w:r w:rsidR="00812AAC" w:rsidRPr="006F7998">
        <w:rPr>
          <w:color w:val="000000"/>
        </w:rPr>
        <w:t>for this reason.</w:t>
      </w:r>
    </w:p>
    <w:p w14:paraId="76EFE7C9" w14:textId="77777777" w:rsidR="00812AAC" w:rsidRPr="006F7998" w:rsidRDefault="00812AAC" w:rsidP="002D5B74">
      <w:pPr>
        <w:pStyle w:val="Heading3"/>
        <w:numPr>
          <w:ilvl w:val="0"/>
          <w:numId w:val="23"/>
        </w:numPr>
        <w:ind w:left="360"/>
        <w:jc w:val="both"/>
      </w:pPr>
      <w:r w:rsidRPr="006F7998">
        <w:t>Ex-post completeness check</w:t>
      </w:r>
    </w:p>
    <w:p w14:paraId="6C9C04AD" w14:textId="1C684875" w:rsidR="00812AAC" w:rsidRDefault="00812AAC" w:rsidP="002D5B74">
      <w:pPr>
        <w:pStyle w:val="BodyText"/>
        <w:jc w:val="both"/>
      </w:pPr>
      <w:r w:rsidRPr="006F7998">
        <w:t>Technical completeness of registration entails the submission of all the information registrants are required to provide</w:t>
      </w:r>
      <w:r>
        <w:t xml:space="preserve"> under Articles 10</w:t>
      </w:r>
      <w:r w:rsidR="00ED0FAC">
        <w:t xml:space="preserve"> and</w:t>
      </w:r>
      <w:r>
        <w:t xml:space="preserve"> 12 </w:t>
      </w:r>
      <w:r w:rsidR="003B0EA1">
        <w:t xml:space="preserve">(or Articles 17/18) </w:t>
      </w:r>
      <w:r>
        <w:t>of REACH and related Annexes</w:t>
      </w:r>
      <w:r w:rsidRPr="006F7998">
        <w:t>.</w:t>
      </w:r>
      <w:r>
        <w:t xml:space="preserve"> The technical completeness check is performed on each submitted dossier before a registration number is assigned. However, the implementation of the completeness check has changed over time, most notably when the component of manual verification of certain information by ECHA staff was introduced in 2016.</w:t>
      </w:r>
      <w:r w:rsidRPr="006F7998">
        <w:t xml:space="preserve"> </w:t>
      </w:r>
    </w:p>
    <w:p w14:paraId="386C4806" w14:textId="6A2D55A0" w:rsidR="00812AAC" w:rsidRDefault="00812AAC" w:rsidP="002D5B74">
      <w:pPr>
        <w:pStyle w:val="BodyText"/>
        <w:jc w:val="both"/>
      </w:pPr>
      <w:r w:rsidRPr="006F7998">
        <w:t xml:space="preserve">If a registration dossier is found </w:t>
      </w:r>
      <w:r w:rsidRPr="00517271">
        <w:rPr>
          <w:i/>
        </w:rPr>
        <w:t>ex</w:t>
      </w:r>
      <w:r w:rsidR="002D5B74">
        <w:rPr>
          <w:i/>
        </w:rPr>
        <w:t>-</w:t>
      </w:r>
      <w:r w:rsidRPr="00517271">
        <w:rPr>
          <w:i/>
        </w:rPr>
        <w:t>post</w:t>
      </w:r>
      <w:r w:rsidRPr="006F7998">
        <w:t xml:space="preserve"> to be technically incomplete, due to </w:t>
      </w:r>
      <w:r>
        <w:t xml:space="preserve">erroneous </w:t>
      </w:r>
      <w:r w:rsidRPr="006F7998">
        <w:t>information</w:t>
      </w:r>
      <w:r>
        <w:t xml:space="preserve"> initially provided</w:t>
      </w:r>
      <w:r w:rsidRPr="006F7998">
        <w:t xml:space="preserve">, </w:t>
      </w:r>
      <w:r>
        <w:t>the completeness check process is re-initiated. The</w:t>
      </w:r>
      <w:r w:rsidRPr="006F7998">
        <w:t xml:space="preserve"> registrant is </w:t>
      </w:r>
      <w:r>
        <w:t xml:space="preserve">informed of the missing/incomplete information and is </w:t>
      </w:r>
      <w:r w:rsidRPr="006F7998">
        <w:t xml:space="preserve">given a reasonable amount of time to update their registration. </w:t>
      </w:r>
    </w:p>
    <w:p w14:paraId="2D13ECAA" w14:textId="77777777" w:rsidR="00812AAC" w:rsidRPr="006F7998" w:rsidRDefault="00812AAC" w:rsidP="002D5B74">
      <w:pPr>
        <w:pStyle w:val="BodyText"/>
        <w:jc w:val="both"/>
      </w:pPr>
      <w:r w:rsidRPr="006F7998">
        <w:t>If the</w:t>
      </w:r>
      <w:r>
        <w:t xml:space="preserve"> registrant pr</w:t>
      </w:r>
      <w:r w:rsidRPr="006F7998">
        <w:t>ovide</w:t>
      </w:r>
      <w:r>
        <w:t>s</w:t>
      </w:r>
      <w:r w:rsidRPr="006F7998">
        <w:t xml:space="preserve"> the requested information within the deadline, the dossier </w:t>
      </w:r>
      <w:r>
        <w:t>is</w:t>
      </w:r>
      <w:r w:rsidRPr="006F7998">
        <w:t xml:space="preserve"> then considered complete. </w:t>
      </w:r>
      <w:r>
        <w:t xml:space="preserve">Article 20 of REACH on the technical part of the completeness check, gives </w:t>
      </w:r>
      <w:r w:rsidRPr="006F7998">
        <w:t xml:space="preserve">the competence </w:t>
      </w:r>
      <w:r>
        <w:t>to ECHA to not grant a registration number if the incompleteness is not resolved. On that basis, i</w:t>
      </w:r>
      <w:r w:rsidRPr="006F7998">
        <w:t xml:space="preserve">f the requested information </w:t>
      </w:r>
      <w:r>
        <w:t>is</w:t>
      </w:r>
      <w:r w:rsidRPr="006F7998">
        <w:t xml:space="preserve"> not provided within the deadline, ECHA revoke</w:t>
      </w:r>
      <w:r>
        <w:t>s</w:t>
      </w:r>
      <w:r w:rsidRPr="006F7998">
        <w:t xml:space="preserve"> the registration</w:t>
      </w:r>
      <w:r>
        <w:t xml:space="preserve"> decision</w:t>
      </w:r>
      <w:r w:rsidRPr="006F7998">
        <w:t>.</w:t>
      </w:r>
      <w:r>
        <w:t xml:space="preserve"> </w:t>
      </w:r>
    </w:p>
    <w:p w14:paraId="706B1178" w14:textId="1A7F09CA" w:rsidR="00812AAC" w:rsidRPr="006F7998" w:rsidRDefault="00812AAC" w:rsidP="002D5B74">
      <w:pPr>
        <w:pStyle w:val="BodyText"/>
        <w:jc w:val="both"/>
      </w:pPr>
      <w:r>
        <w:t xml:space="preserve">Two campaigns of </w:t>
      </w:r>
      <w:r w:rsidR="002D5B74" w:rsidRPr="00517271">
        <w:rPr>
          <w:i/>
        </w:rPr>
        <w:t>ex</w:t>
      </w:r>
      <w:r w:rsidR="002D5B74">
        <w:rPr>
          <w:i/>
        </w:rPr>
        <w:t>-</w:t>
      </w:r>
      <w:r w:rsidRPr="00517271">
        <w:rPr>
          <w:i/>
        </w:rPr>
        <w:t>post</w:t>
      </w:r>
      <w:r>
        <w:t xml:space="preserve"> technical completeness check have been carried out to date. They took place after the introduction of the manual verification component into the completeness check process in 2016, to promote level playing field of registrants. The first campaign during 2016-</w:t>
      </w:r>
      <w:r w:rsidRPr="006F7998">
        <w:t>2017 target</w:t>
      </w:r>
      <w:r>
        <w:t>ed</w:t>
      </w:r>
      <w:r w:rsidRPr="006F7998">
        <w:t xml:space="preserve"> dossiers where </w:t>
      </w:r>
      <w:r>
        <w:t xml:space="preserve">Annex VII-X </w:t>
      </w:r>
      <w:r w:rsidRPr="006F7998">
        <w:t xml:space="preserve">studies </w:t>
      </w:r>
      <w:r>
        <w:t xml:space="preserve">had been omitted with the justification that they </w:t>
      </w:r>
      <w:r w:rsidRPr="006F7998">
        <w:t>were ‘ongoing’ but were never updated</w:t>
      </w:r>
      <w:r>
        <w:t>. All the targeted dossiers where completed except</w:t>
      </w:r>
      <w:r w:rsidRPr="006F7998">
        <w:t xml:space="preserve"> </w:t>
      </w:r>
      <w:r w:rsidR="00ED6208">
        <w:t>two</w:t>
      </w:r>
      <w:r>
        <w:t xml:space="preserve">, for which the </w:t>
      </w:r>
      <w:r w:rsidRPr="006F7998">
        <w:t>registration</w:t>
      </w:r>
      <w:r>
        <w:t xml:space="preserve"> decision</w:t>
      </w:r>
      <w:r w:rsidRPr="006F7998">
        <w:t xml:space="preserve">s were revoked. </w:t>
      </w:r>
      <w:r>
        <w:t xml:space="preserve">In a second campaign, </w:t>
      </w:r>
      <w:r w:rsidR="00ED6208">
        <w:t>one</w:t>
      </w:r>
      <w:r>
        <w:t xml:space="preserve"> registration decision was revoked. </w:t>
      </w:r>
      <w:r w:rsidRPr="006F7998">
        <w:t>No</w:t>
      </w:r>
      <w:r>
        <w:t xml:space="preserve"> further</w:t>
      </w:r>
      <w:r w:rsidRPr="006F7998">
        <w:t xml:space="preserve"> campaigns </w:t>
      </w:r>
      <w:r>
        <w:t>are currently foreseen to take place</w:t>
      </w:r>
      <w:r w:rsidRPr="006F7998">
        <w:t>.</w:t>
      </w:r>
    </w:p>
    <w:p w14:paraId="568A0F05" w14:textId="77777777" w:rsidR="00812AAC" w:rsidRPr="006F7998" w:rsidRDefault="00812AAC" w:rsidP="002D5B74">
      <w:pPr>
        <w:pStyle w:val="Heading3"/>
        <w:numPr>
          <w:ilvl w:val="0"/>
          <w:numId w:val="23"/>
        </w:numPr>
        <w:ind w:left="360"/>
        <w:jc w:val="both"/>
      </w:pPr>
      <w:r w:rsidRPr="006F7998">
        <w:t>Breach of the joint submission obligation</w:t>
      </w:r>
    </w:p>
    <w:p w14:paraId="096F1859" w14:textId="746B1E15" w:rsidR="00812AAC" w:rsidRDefault="00812AAC" w:rsidP="002D5B74">
      <w:pPr>
        <w:pStyle w:val="ListParagraph"/>
        <w:ind w:left="0"/>
        <w:jc w:val="both"/>
        <w:rPr>
          <w:color w:val="000000"/>
        </w:rPr>
      </w:pPr>
      <w:r>
        <w:rPr>
          <w:color w:val="000000"/>
        </w:rPr>
        <w:t>The I</w:t>
      </w:r>
      <w:r w:rsidRPr="003A4434">
        <w:rPr>
          <w:color w:val="000000"/>
        </w:rPr>
        <w:t>mplementing Regulation 2016/9 on Joint Submission and Data Sharing</w:t>
      </w:r>
      <w:r>
        <w:rPr>
          <w:color w:val="000000"/>
        </w:rPr>
        <w:t xml:space="preserve"> clarified that ECHA should ensure that all registrants of a substance are part of the same joint submission as foreseen in Articles 11 and 19 of REACH. Following this, ECHA took actions to contact </w:t>
      </w:r>
      <w:r w:rsidRPr="006F7998">
        <w:rPr>
          <w:color w:val="000000"/>
        </w:rPr>
        <w:t xml:space="preserve">registrants </w:t>
      </w:r>
      <w:r>
        <w:rPr>
          <w:color w:val="000000"/>
        </w:rPr>
        <w:t xml:space="preserve">that had </w:t>
      </w:r>
      <w:r w:rsidRPr="006F7998">
        <w:rPr>
          <w:color w:val="000000"/>
        </w:rPr>
        <w:t xml:space="preserve">failed to comply with the joint submission obligation (e.g. the registrant </w:t>
      </w:r>
      <w:r>
        <w:rPr>
          <w:color w:val="000000"/>
        </w:rPr>
        <w:t xml:space="preserve">had </w:t>
      </w:r>
      <w:r w:rsidRPr="006F7998">
        <w:rPr>
          <w:color w:val="000000"/>
        </w:rPr>
        <w:t xml:space="preserve">submitted </w:t>
      </w:r>
      <w:r>
        <w:rPr>
          <w:color w:val="000000"/>
        </w:rPr>
        <w:t>a</w:t>
      </w:r>
      <w:r w:rsidRPr="006F7998">
        <w:rPr>
          <w:color w:val="000000"/>
        </w:rPr>
        <w:t xml:space="preserve"> registration</w:t>
      </w:r>
      <w:r>
        <w:rPr>
          <w:color w:val="000000"/>
        </w:rPr>
        <w:t xml:space="preserve"> dossier outside an existing joint submission, or several joint submissions were created for the same substance</w:t>
      </w:r>
      <w:r w:rsidRPr="006F7998">
        <w:rPr>
          <w:color w:val="000000"/>
        </w:rPr>
        <w:t>)</w:t>
      </w:r>
      <w:r>
        <w:rPr>
          <w:color w:val="000000"/>
        </w:rPr>
        <w:t xml:space="preserve">. ECHA requested all the registrants of the </w:t>
      </w:r>
      <w:r w:rsidR="002A3E8E">
        <w:rPr>
          <w:color w:val="000000"/>
        </w:rPr>
        <w:t xml:space="preserve">same </w:t>
      </w:r>
      <w:r>
        <w:rPr>
          <w:color w:val="000000"/>
        </w:rPr>
        <w:t xml:space="preserve">substance </w:t>
      </w:r>
      <w:r w:rsidRPr="006F7998">
        <w:t>to join an existing joint submission or,</w:t>
      </w:r>
      <w:r>
        <w:t xml:space="preserve"> if one did not exist, </w:t>
      </w:r>
      <w:r w:rsidRPr="006F7998">
        <w:t>together with other registrants, form a new one</w:t>
      </w:r>
      <w:r w:rsidRPr="006F7998">
        <w:rPr>
          <w:color w:val="000000"/>
        </w:rPr>
        <w:t xml:space="preserve"> by a given deadline. </w:t>
      </w:r>
    </w:p>
    <w:p w14:paraId="0605C688" w14:textId="77777777" w:rsidR="00812AAC" w:rsidRDefault="00812AAC" w:rsidP="002D5B74">
      <w:pPr>
        <w:pStyle w:val="ListParagraph"/>
        <w:ind w:left="0"/>
        <w:jc w:val="both"/>
        <w:rPr>
          <w:color w:val="000000"/>
        </w:rPr>
      </w:pPr>
    </w:p>
    <w:p w14:paraId="269E0BBA" w14:textId="77777777" w:rsidR="00812AAC" w:rsidRPr="006F7998" w:rsidRDefault="00812AAC" w:rsidP="002D5B74">
      <w:pPr>
        <w:pStyle w:val="ListParagraph"/>
        <w:ind w:left="0"/>
        <w:jc w:val="both"/>
        <w:rPr>
          <w:color w:val="000000"/>
        </w:rPr>
      </w:pPr>
      <w:r w:rsidRPr="006F7998">
        <w:rPr>
          <w:color w:val="000000"/>
        </w:rPr>
        <w:t>If the</w:t>
      </w:r>
      <w:r>
        <w:rPr>
          <w:color w:val="000000"/>
        </w:rPr>
        <w:t xml:space="preserve"> companies</w:t>
      </w:r>
      <w:r w:rsidRPr="006F7998">
        <w:rPr>
          <w:color w:val="000000"/>
        </w:rPr>
        <w:t xml:space="preserve"> did not comply with the joint submission obligation before the deadline, their registration was revoked. </w:t>
      </w:r>
      <w:r>
        <w:rPr>
          <w:color w:val="000000"/>
        </w:rPr>
        <w:t xml:space="preserve">In total, during the 2017-18 campaign, </w:t>
      </w:r>
      <w:r w:rsidRPr="006F7998">
        <w:rPr>
          <w:color w:val="000000"/>
        </w:rPr>
        <w:t>37 registrations were revoked.</w:t>
      </w:r>
    </w:p>
    <w:p w14:paraId="18349A84" w14:textId="77777777" w:rsidR="00812AAC" w:rsidRPr="006F7998" w:rsidRDefault="00812AAC" w:rsidP="002D5B74">
      <w:pPr>
        <w:pStyle w:val="ListParagraph"/>
        <w:ind w:left="0"/>
        <w:jc w:val="both"/>
        <w:rPr>
          <w:color w:val="000000"/>
        </w:rPr>
      </w:pPr>
    </w:p>
    <w:p w14:paraId="3518796B" w14:textId="77777777" w:rsidR="00812AAC" w:rsidRPr="006F7998" w:rsidRDefault="00812AAC" w:rsidP="002D5B74">
      <w:pPr>
        <w:pStyle w:val="ListParagraph"/>
        <w:ind w:left="0"/>
        <w:jc w:val="both"/>
        <w:rPr>
          <w:color w:val="000000"/>
        </w:rPr>
      </w:pPr>
      <w:r>
        <w:rPr>
          <w:color w:val="000000"/>
        </w:rPr>
        <w:t>T</w:t>
      </w:r>
      <w:r w:rsidRPr="006F7998">
        <w:rPr>
          <w:color w:val="000000"/>
        </w:rPr>
        <w:t>he Board of Appeal decision A-005-2017</w:t>
      </w:r>
      <w:r>
        <w:rPr>
          <w:color w:val="000000"/>
        </w:rPr>
        <w:t xml:space="preserve"> considered that existing processes such as completeness or compliance check should be used instead to ensure the joint submission obligation. Accordingly</w:t>
      </w:r>
      <w:r w:rsidRPr="006F7998">
        <w:rPr>
          <w:color w:val="000000"/>
        </w:rPr>
        <w:t xml:space="preserve">, this </w:t>
      </w:r>
      <w:r>
        <w:rPr>
          <w:color w:val="000000"/>
        </w:rPr>
        <w:t>procedure was</w:t>
      </w:r>
      <w:r w:rsidRPr="006F7998">
        <w:rPr>
          <w:color w:val="000000"/>
        </w:rPr>
        <w:t xml:space="preserve"> halted and no more actions in this regard are planned.</w:t>
      </w:r>
    </w:p>
    <w:p w14:paraId="06F6D1F2" w14:textId="77777777" w:rsidR="00812AAC" w:rsidRPr="006F7998" w:rsidRDefault="00812AAC" w:rsidP="00812AAC">
      <w:pPr>
        <w:pStyle w:val="ListParagraph"/>
        <w:jc w:val="both"/>
        <w:rPr>
          <w:color w:val="000000"/>
        </w:rPr>
      </w:pPr>
    </w:p>
    <w:p w14:paraId="45E0DCBF" w14:textId="77777777" w:rsidR="00812AAC" w:rsidRPr="006F7998" w:rsidRDefault="00812AAC" w:rsidP="00752978">
      <w:pPr>
        <w:pStyle w:val="Heading3"/>
        <w:numPr>
          <w:ilvl w:val="0"/>
          <w:numId w:val="23"/>
        </w:numPr>
        <w:ind w:left="360"/>
        <w:jc w:val="both"/>
        <w:rPr>
          <w:bCs w:val="0"/>
        </w:rPr>
      </w:pPr>
      <w:r w:rsidRPr="006F7998">
        <w:t>Non</w:t>
      </w:r>
      <w:r w:rsidRPr="006F7998">
        <w:rPr>
          <w:b w:val="0"/>
        </w:rPr>
        <w:t>-</w:t>
      </w:r>
      <w:r w:rsidRPr="006F7998">
        <w:rPr>
          <w:bCs w:val="0"/>
        </w:rPr>
        <w:t xml:space="preserve">existing </w:t>
      </w:r>
      <w:r>
        <w:rPr>
          <w:bCs w:val="0"/>
        </w:rPr>
        <w:t xml:space="preserve">registrant </w:t>
      </w:r>
    </w:p>
    <w:p w14:paraId="5E816F31" w14:textId="31C3FC4E" w:rsidR="00812AAC" w:rsidRDefault="00812AAC" w:rsidP="00752978">
      <w:pPr>
        <w:pStyle w:val="BodyText"/>
        <w:jc w:val="both"/>
      </w:pPr>
      <w:r w:rsidRPr="006F7998">
        <w:t>Registration</w:t>
      </w:r>
      <w:r>
        <w:t xml:space="preserve"> dossier</w:t>
      </w:r>
      <w:r w:rsidRPr="006F7998">
        <w:t>s can only be submitted by existing</w:t>
      </w:r>
      <w:r>
        <w:t xml:space="preserve"> legal entities</w:t>
      </w:r>
      <w:r w:rsidRPr="006F7998">
        <w:t xml:space="preserve"> </w:t>
      </w:r>
      <w:r>
        <w:t xml:space="preserve">that (intend to) </w:t>
      </w:r>
      <w:r w:rsidRPr="006F7998">
        <w:t xml:space="preserve">manufacture, import or </w:t>
      </w:r>
      <w:r>
        <w:t xml:space="preserve">act as </w:t>
      </w:r>
      <w:r w:rsidRPr="006F7998">
        <w:t>only representatives in accordance with Articles 6 and Article 8 of REACH. If</w:t>
      </w:r>
      <w:r>
        <w:t xml:space="preserve"> a company is found, </w:t>
      </w:r>
      <w:r w:rsidRPr="00E648A7">
        <w:rPr>
          <w:i/>
        </w:rPr>
        <w:t>ex</w:t>
      </w:r>
      <w:r w:rsidR="00752978">
        <w:rPr>
          <w:i/>
        </w:rPr>
        <w:t>-</w:t>
      </w:r>
      <w:r w:rsidRPr="00E648A7">
        <w:rPr>
          <w:i/>
        </w:rPr>
        <w:t>post</w:t>
      </w:r>
      <w:r>
        <w:t>, to not be identifiable</w:t>
      </w:r>
      <w:r w:rsidRPr="006F7998">
        <w:t xml:space="preserve"> (e.g. using </w:t>
      </w:r>
      <w:r>
        <w:t xml:space="preserve">meaningless </w:t>
      </w:r>
      <w:r w:rsidRPr="006F7998">
        <w:t xml:space="preserve">contact information), ECHA </w:t>
      </w:r>
      <w:r>
        <w:t>may bring this to the attention of the relevant national enforcement authority for a possible verification of the actual existence of the registrant.</w:t>
      </w:r>
    </w:p>
    <w:p w14:paraId="2693828B" w14:textId="2C7628C0" w:rsidR="00812AAC" w:rsidRPr="006F7998" w:rsidRDefault="00812AAC" w:rsidP="00752978">
      <w:pPr>
        <w:pStyle w:val="BodyText"/>
        <w:jc w:val="both"/>
      </w:pPr>
      <w:r w:rsidRPr="006F7998">
        <w:t xml:space="preserve">If </w:t>
      </w:r>
      <w:r>
        <w:t>the national enforcement authority</w:t>
      </w:r>
      <w:r w:rsidR="00235441">
        <w:t xml:space="preserve"> (NEA)</w:t>
      </w:r>
      <w:r>
        <w:t xml:space="preserve"> informs ECHA that a registrant is not actually identifiable on the national territory and does not fulfil the national requirements for an existing legal entity, ECHA </w:t>
      </w:r>
      <w:r w:rsidRPr="006F7998">
        <w:t>ask</w:t>
      </w:r>
      <w:r>
        <w:t>s</w:t>
      </w:r>
      <w:r w:rsidRPr="006F7998">
        <w:t xml:space="preserve"> the registrant </w:t>
      </w:r>
      <w:r>
        <w:t xml:space="preserve">via REACH-IT </w:t>
      </w:r>
      <w:r w:rsidRPr="006F7998">
        <w:t xml:space="preserve">to update their information in order to </w:t>
      </w:r>
      <w:r>
        <w:t xml:space="preserve">confirm their establishment on the EU territory </w:t>
      </w:r>
      <w:r w:rsidRPr="006F7998">
        <w:t>by a given deadline</w:t>
      </w:r>
      <w:r>
        <w:t xml:space="preserve">. If the establishment of the registrant is not clarified </w:t>
      </w:r>
      <w:r w:rsidRPr="006F7998">
        <w:t>within the deadline, the registration</w:t>
      </w:r>
      <w:r w:rsidR="00B46DDC">
        <w:t xml:space="preserve"> decision</w:t>
      </w:r>
      <w:r w:rsidRPr="006F7998">
        <w:t xml:space="preserve"> is revoked.</w:t>
      </w:r>
    </w:p>
    <w:p w14:paraId="0403DCE0" w14:textId="16A749A0" w:rsidR="00812AAC" w:rsidRDefault="00812AAC" w:rsidP="00752978">
      <w:pPr>
        <w:pStyle w:val="BodyText"/>
        <w:jc w:val="both"/>
      </w:pPr>
      <w:r w:rsidRPr="006F7998">
        <w:t xml:space="preserve">ECHA has revoked </w:t>
      </w:r>
      <w:r w:rsidR="002A3E8E">
        <w:t>two</w:t>
      </w:r>
      <w:r w:rsidR="002A3E8E" w:rsidRPr="006F7998">
        <w:t xml:space="preserve"> </w:t>
      </w:r>
      <w:r w:rsidRPr="006F7998">
        <w:t>registration</w:t>
      </w:r>
      <w:r w:rsidR="00B46DDC">
        <w:t xml:space="preserve"> decision</w:t>
      </w:r>
      <w:r w:rsidRPr="006F7998">
        <w:t xml:space="preserve">s </w:t>
      </w:r>
      <w:r w:rsidR="00B46DDC">
        <w:t xml:space="preserve">of registrations </w:t>
      </w:r>
      <w:r w:rsidRPr="006F7998">
        <w:t>submitted by unidentifiable legal entities</w:t>
      </w:r>
      <w:r>
        <w:t xml:space="preserve"> and </w:t>
      </w:r>
      <w:r w:rsidR="00752978">
        <w:t>is</w:t>
      </w:r>
      <w:r>
        <w:t xml:space="preserve"> expanding the process to also cover cases where registrants do not comply with national rules on company establishment</w:t>
      </w:r>
      <w:r w:rsidRPr="006F7998">
        <w:t>.</w:t>
      </w:r>
    </w:p>
    <w:p w14:paraId="233D30B4" w14:textId="77777777" w:rsidR="00812AAC" w:rsidRPr="006F7998" w:rsidRDefault="00812AAC" w:rsidP="00752978">
      <w:pPr>
        <w:pStyle w:val="Heading3"/>
        <w:numPr>
          <w:ilvl w:val="0"/>
          <w:numId w:val="23"/>
        </w:numPr>
        <w:ind w:left="360"/>
        <w:jc w:val="both"/>
      </w:pPr>
      <w:r w:rsidRPr="006F7998">
        <w:t>No-</w:t>
      </w:r>
      <w:r>
        <w:t xml:space="preserve">longer </w:t>
      </w:r>
      <w:r w:rsidRPr="006F7998">
        <w:t xml:space="preserve">existing </w:t>
      </w:r>
      <w:r>
        <w:t>registrant</w:t>
      </w:r>
    </w:p>
    <w:p w14:paraId="7D822D1F" w14:textId="3AD59B6E" w:rsidR="00812AAC" w:rsidRPr="006F7998" w:rsidRDefault="00812AAC" w:rsidP="00752978">
      <w:pPr>
        <w:pStyle w:val="BodyText"/>
        <w:jc w:val="both"/>
      </w:pPr>
      <w:r w:rsidRPr="006F7998">
        <w:t xml:space="preserve">As </w:t>
      </w:r>
      <w:r>
        <w:t xml:space="preserve">REACH </w:t>
      </w:r>
      <w:r w:rsidRPr="006F7998">
        <w:t xml:space="preserve">registration started more than 10 years ago, it is no surprise that companies that </w:t>
      </w:r>
      <w:r w:rsidR="00283008">
        <w:t xml:space="preserve">once </w:t>
      </w:r>
      <w:r w:rsidRPr="006F7998">
        <w:t xml:space="preserve">registered may no longer exist. In the absence of an identifiable legal entity that is responsible for the registration, ECHA can consider the registration as no longer valid. </w:t>
      </w:r>
    </w:p>
    <w:p w14:paraId="060A0643" w14:textId="42E5683D" w:rsidR="00812AAC" w:rsidRDefault="00812AAC" w:rsidP="00752978">
      <w:pPr>
        <w:pStyle w:val="BodyText"/>
        <w:jc w:val="both"/>
      </w:pPr>
      <w:r>
        <w:t>ECH</w:t>
      </w:r>
      <w:r w:rsidRPr="006F7998">
        <w:t xml:space="preserve">A </w:t>
      </w:r>
      <w:r>
        <w:t>may be informed that</w:t>
      </w:r>
      <w:r w:rsidRPr="006F7998">
        <w:t xml:space="preserve"> a company </w:t>
      </w:r>
      <w:r w:rsidR="00283008">
        <w:t>no longer</w:t>
      </w:r>
      <w:r w:rsidRPr="006F7998">
        <w:t xml:space="preserve"> meet</w:t>
      </w:r>
      <w:r w:rsidR="00283008">
        <w:t>s</w:t>
      </w:r>
      <w:r w:rsidRPr="006F7998">
        <w:t xml:space="preserve"> the requirements for legal existence </w:t>
      </w:r>
      <w:r w:rsidR="00752978">
        <w:t>by</w:t>
      </w:r>
      <w:r w:rsidR="00B832E7">
        <w:t xml:space="preserve"> </w:t>
      </w:r>
      <w:r>
        <w:t>co-registrants</w:t>
      </w:r>
      <w:r w:rsidR="00A84D0C">
        <w:t xml:space="preserve">, </w:t>
      </w:r>
      <w:r w:rsidR="003B7BE8">
        <w:t xml:space="preserve">a </w:t>
      </w:r>
      <w:r>
        <w:t xml:space="preserve">court administrator </w:t>
      </w:r>
      <w:r w:rsidR="005D5178">
        <w:t>in charge of</w:t>
      </w:r>
      <w:r>
        <w:t xml:space="preserve"> </w:t>
      </w:r>
      <w:r w:rsidR="003B7BE8">
        <w:t xml:space="preserve">the </w:t>
      </w:r>
      <w:r>
        <w:t>liquidation proceedings</w:t>
      </w:r>
      <w:r w:rsidR="005D5178">
        <w:t xml:space="preserve"> of the company</w:t>
      </w:r>
      <w:r w:rsidR="00235441">
        <w:t xml:space="preserve">, or </w:t>
      </w:r>
      <w:r w:rsidR="00B832E7">
        <w:t xml:space="preserve">by </w:t>
      </w:r>
      <w:r w:rsidR="00A84D0C">
        <w:t xml:space="preserve">the </w:t>
      </w:r>
      <w:r w:rsidR="00235441">
        <w:t>NEA</w:t>
      </w:r>
      <w:r w:rsidR="00A84D0C">
        <w:t>s</w:t>
      </w:r>
      <w:r w:rsidRPr="006F7998">
        <w:t>.</w:t>
      </w:r>
      <w:r w:rsidR="005D5178">
        <w:t xml:space="preserve"> Additionally, ECHA receives this information when verifying the SME status claimed by companies.</w:t>
      </w:r>
      <w:r w:rsidRPr="006F7998">
        <w:t xml:space="preserve"> </w:t>
      </w:r>
    </w:p>
    <w:p w14:paraId="6EF217CE" w14:textId="7272FAAC" w:rsidR="00812AAC" w:rsidRPr="006F7998" w:rsidRDefault="00812AAC" w:rsidP="00752978">
      <w:pPr>
        <w:pStyle w:val="BodyText"/>
        <w:jc w:val="both"/>
      </w:pPr>
      <w:r>
        <w:t xml:space="preserve">Since the </w:t>
      </w:r>
      <w:r w:rsidR="000D0086">
        <w:t xml:space="preserve">valid </w:t>
      </w:r>
      <w:r>
        <w:t>establishment as a legal entity is according to national law, ECHA cannot act on this information on its own. T</w:t>
      </w:r>
      <w:r w:rsidRPr="006F7998">
        <w:t>he non-existence of a company</w:t>
      </w:r>
      <w:r>
        <w:t xml:space="preserve"> (i.e. the company no longer meets the national requirement for legal existence)</w:t>
      </w:r>
      <w:r w:rsidRPr="006F7998">
        <w:t xml:space="preserve"> needs to be established by a</w:t>
      </w:r>
      <w:r>
        <w:t xml:space="preserve"> National Authority or the</w:t>
      </w:r>
      <w:r w:rsidRPr="006F7998">
        <w:t xml:space="preserve"> NEA. This may happen upon an invitation from ECHA to check the status of a company or upon the NEA’s own initiative</w:t>
      </w:r>
      <w:r>
        <w:t>, when they find a company to has ceased to legally exist</w:t>
      </w:r>
      <w:r w:rsidRPr="006F7998">
        <w:t xml:space="preserve">. </w:t>
      </w:r>
    </w:p>
    <w:p w14:paraId="58882AE7" w14:textId="469B4146" w:rsidR="00812AAC" w:rsidRPr="006F7998" w:rsidRDefault="00812AAC" w:rsidP="00B832E7">
      <w:pPr>
        <w:pStyle w:val="BodyText"/>
        <w:jc w:val="both"/>
      </w:pPr>
      <w:r w:rsidRPr="006F7998">
        <w:t xml:space="preserve">After the NEA has </w:t>
      </w:r>
      <w:r>
        <w:t>informed ECHA</w:t>
      </w:r>
      <w:r w:rsidRPr="006F7998">
        <w:t xml:space="preserve"> on the status of the company</w:t>
      </w:r>
      <w:r w:rsidR="000D0086">
        <w:t xml:space="preserve"> in accordance with national law</w:t>
      </w:r>
      <w:r w:rsidRPr="006F7998">
        <w:t xml:space="preserve">, </w:t>
      </w:r>
      <w:r w:rsidR="00BF0CCB">
        <w:t>ECHA</w:t>
      </w:r>
      <w:r w:rsidRPr="006F7998">
        <w:t xml:space="preserve"> </w:t>
      </w:r>
      <w:r w:rsidR="006A3CE6">
        <w:t xml:space="preserve">will </w:t>
      </w:r>
      <w:r w:rsidRPr="006F7998">
        <w:t xml:space="preserve">contact the registrant through REACH-IT and give them the opportunity to </w:t>
      </w:r>
      <w:r w:rsidR="0042276E">
        <w:t xml:space="preserve">react and </w:t>
      </w:r>
      <w:r w:rsidRPr="006F7998">
        <w:t xml:space="preserve">clarify their situation. If </w:t>
      </w:r>
      <w:r w:rsidR="00235441">
        <w:t>no</w:t>
      </w:r>
      <w:r w:rsidRPr="006F7998">
        <w:t xml:space="preserve"> response </w:t>
      </w:r>
      <w:r w:rsidR="00235441">
        <w:t>is received</w:t>
      </w:r>
      <w:r w:rsidRPr="006F7998">
        <w:t xml:space="preserve">, it will be </w:t>
      </w:r>
      <w:r>
        <w:t>considered</w:t>
      </w:r>
      <w:r w:rsidRPr="006F7998">
        <w:t xml:space="preserve"> that the </w:t>
      </w:r>
      <w:r>
        <w:t>company</w:t>
      </w:r>
      <w:r w:rsidRPr="006F7998">
        <w:t xml:space="preserve"> does not exist, and ECHA will revoke the registration</w:t>
      </w:r>
      <w:r>
        <w:t xml:space="preserve"> decisions issued to </w:t>
      </w:r>
      <w:r w:rsidRPr="006F7998">
        <w:t>that company.</w:t>
      </w:r>
    </w:p>
    <w:p w14:paraId="7B052DB8" w14:textId="3F60FDCA" w:rsidR="00B832E7" w:rsidRPr="006F7998" w:rsidRDefault="00235441" w:rsidP="00505A31">
      <w:pPr>
        <w:pStyle w:val="BodyText"/>
        <w:jc w:val="both"/>
      </w:pPr>
      <w:r>
        <w:t xml:space="preserve">ECHA is currently </w:t>
      </w:r>
      <w:r w:rsidR="00B832E7">
        <w:t>developing the</w:t>
      </w:r>
      <w:r w:rsidR="00812AAC">
        <w:t xml:space="preserve"> process to </w:t>
      </w:r>
      <w:r>
        <w:t>handle</w:t>
      </w:r>
      <w:r w:rsidR="00812AAC">
        <w:t xml:space="preserve"> these cases</w:t>
      </w:r>
      <w:r w:rsidR="00B832E7">
        <w:t xml:space="preserve"> in collaboration with the </w:t>
      </w:r>
      <w:r w:rsidR="00B832E7">
        <w:lastRenderedPageBreak/>
        <w:t>NEA</w:t>
      </w:r>
      <w:r w:rsidR="00812AAC">
        <w:t>.</w:t>
      </w:r>
      <w:r w:rsidR="00B832E7">
        <w:t xml:space="preserve"> </w:t>
      </w:r>
      <w:r w:rsidR="00B46DDC">
        <w:t>Revocation of ~</w:t>
      </w:r>
      <w:r w:rsidR="00880252">
        <w:t>150</w:t>
      </w:r>
      <w:r w:rsidR="00B46DDC">
        <w:t xml:space="preserve"> registration decisions is estimated from the </w:t>
      </w:r>
      <w:r w:rsidR="00B832E7">
        <w:t xml:space="preserve">information ECHA has compiled </w:t>
      </w:r>
      <w:r w:rsidR="00B46DDC">
        <w:t>on</w:t>
      </w:r>
      <w:r w:rsidR="00B832E7">
        <w:t xml:space="preserve"> companies that are liquidated. </w:t>
      </w:r>
    </w:p>
    <w:p w14:paraId="58341483" w14:textId="35C791AC" w:rsidR="00BF235E" w:rsidRPr="006F7998" w:rsidRDefault="00BF235E" w:rsidP="00BF235E">
      <w:pPr>
        <w:pStyle w:val="Heading3"/>
        <w:numPr>
          <w:ilvl w:val="0"/>
          <w:numId w:val="23"/>
        </w:numPr>
        <w:ind w:left="360"/>
        <w:jc w:val="both"/>
      </w:pPr>
      <w:r>
        <w:t>UK</w:t>
      </w:r>
      <w:r w:rsidRPr="006F7998">
        <w:t xml:space="preserve"> </w:t>
      </w:r>
      <w:r>
        <w:t xml:space="preserve">registrants after </w:t>
      </w:r>
      <w:r w:rsidR="0072029A" w:rsidRPr="0072029A">
        <w:t>the end of the transitional period of the UK withdrawal from the EU</w:t>
      </w:r>
    </w:p>
    <w:p w14:paraId="7AE2BD80" w14:textId="4D920B89" w:rsidR="00812AAC" w:rsidRPr="006F7998" w:rsidRDefault="007E2DCF" w:rsidP="007E2DCF">
      <w:pPr>
        <w:pStyle w:val="BodyText"/>
        <w:jc w:val="both"/>
      </w:pPr>
      <w:r>
        <w:t>A</w:t>
      </w:r>
      <w:r w:rsidR="0072029A" w:rsidRPr="0072029A">
        <w:t>fter the end of the transitional period of the UK’s withdrawal from the EU on 31 December 2020</w:t>
      </w:r>
      <w:r>
        <w:t>,</w:t>
      </w:r>
      <w:r w:rsidR="0072029A">
        <w:t xml:space="preserve"> ECHA will revoke the registration decisions </w:t>
      </w:r>
      <w:r>
        <w:t xml:space="preserve">of registrants based in the UK that were not </w:t>
      </w:r>
      <w:r w:rsidR="0072029A" w:rsidRPr="0072029A">
        <w:t>transfe</w:t>
      </w:r>
      <w:r>
        <w:t>r</w:t>
      </w:r>
      <w:r w:rsidR="0072029A" w:rsidRPr="0072029A">
        <w:t>r</w:t>
      </w:r>
      <w:r>
        <w:t>ed</w:t>
      </w:r>
      <w:r w:rsidR="0072029A" w:rsidRPr="0072029A">
        <w:t xml:space="preserve"> to a</w:t>
      </w:r>
      <w:r w:rsidR="00CF50B3">
        <w:t>nother</w:t>
      </w:r>
      <w:r>
        <w:t xml:space="preserve"> </w:t>
      </w:r>
      <w:r w:rsidR="0072029A" w:rsidRPr="0072029A">
        <w:t xml:space="preserve">company or </w:t>
      </w:r>
      <w:r w:rsidR="00CF50B3">
        <w:t xml:space="preserve">to </w:t>
      </w:r>
      <w:r w:rsidR="00283008">
        <w:t xml:space="preserve">an </w:t>
      </w:r>
      <w:r w:rsidR="0072029A" w:rsidRPr="0072029A">
        <w:t>only representative based in the EU-27 or the EEA.</w:t>
      </w:r>
      <w:r w:rsidR="001902FF">
        <w:rPr>
          <w:rStyle w:val="FootnoteReference"/>
        </w:rPr>
        <w:footnoteReference w:id="2"/>
      </w:r>
      <w:r>
        <w:t xml:space="preserve"> </w:t>
      </w:r>
      <w:r w:rsidR="00BA3BA1">
        <w:t xml:space="preserve">These revocations will proceed without contacting the registrant through REACH-IT, as such registrations are clearly void as a consequence </w:t>
      </w:r>
      <w:r w:rsidR="003B7BE8">
        <w:t>of the UK’s withdrawal from the EU.</w:t>
      </w:r>
    </w:p>
    <w:p w14:paraId="678CD2AE" w14:textId="77777777" w:rsidR="00812AAC" w:rsidRPr="006F7998" w:rsidRDefault="00812AAC" w:rsidP="00B46DDC">
      <w:pPr>
        <w:pStyle w:val="Heading3"/>
        <w:numPr>
          <w:ilvl w:val="0"/>
          <w:numId w:val="23"/>
        </w:numPr>
        <w:ind w:left="360"/>
        <w:jc w:val="both"/>
      </w:pPr>
      <w:r>
        <w:t>After n</w:t>
      </w:r>
      <w:r w:rsidRPr="006F7998">
        <w:t>otification of a cease of manufacture or import in accordance with Article 50(3) of REACH</w:t>
      </w:r>
    </w:p>
    <w:p w14:paraId="207B4EBB" w14:textId="77777777" w:rsidR="00812AAC" w:rsidRPr="006F7998" w:rsidRDefault="00812AAC" w:rsidP="00B46DDC">
      <w:pPr>
        <w:pStyle w:val="BodyText"/>
        <w:jc w:val="both"/>
      </w:pPr>
      <w:r w:rsidRPr="006F7998">
        <w:t>According to Article 50(3)</w:t>
      </w:r>
      <w:r>
        <w:t xml:space="preserve"> of REACH</w:t>
      </w:r>
      <w:r w:rsidRPr="006F7998">
        <w:t>, if after the notification of a draft evaluation decision (for either dossier evaluation or substance evaluation)</w:t>
      </w:r>
      <w:r>
        <w:t xml:space="preserve"> but before a final decision is adopted</w:t>
      </w:r>
      <w:r w:rsidRPr="006F7998">
        <w:t xml:space="preserve">, </w:t>
      </w:r>
      <w:r>
        <w:t>a</w:t>
      </w:r>
      <w:r w:rsidRPr="006F7998">
        <w:t xml:space="preserve"> registrant ceases manufacture or import of a substance or article, their registration is no longer valid and they can no longer manufacture or import the substance in quantities of 1 tonne or more per year. </w:t>
      </w:r>
    </w:p>
    <w:p w14:paraId="35881687" w14:textId="0C487E1D" w:rsidR="00812AAC" w:rsidRDefault="00812AAC" w:rsidP="00B46DDC">
      <w:pPr>
        <w:pStyle w:val="BodyText"/>
        <w:jc w:val="both"/>
        <w:rPr>
          <w:color w:val="000000"/>
        </w:rPr>
      </w:pPr>
      <w:r w:rsidRPr="006F7998">
        <w:t>To date, 1</w:t>
      </w:r>
      <w:r w:rsidR="005D2907">
        <w:t>9</w:t>
      </w:r>
      <w:r w:rsidR="000E0E81">
        <w:t>0</w:t>
      </w:r>
      <w:r w:rsidRPr="006F7998">
        <w:t xml:space="preserve"> registrations </w:t>
      </w:r>
      <w:r>
        <w:t xml:space="preserve">are no longer valid </w:t>
      </w:r>
      <w:r w:rsidRPr="006F7998">
        <w:t>in accordance with Article 50(3).</w:t>
      </w:r>
      <w:r w:rsidRPr="00B4576E">
        <w:rPr>
          <w:color w:val="000000"/>
        </w:rPr>
        <w:t xml:space="preserve"> </w:t>
      </w:r>
      <w:r>
        <w:rPr>
          <w:color w:val="000000"/>
        </w:rPr>
        <w:t>The numbers of have grown significantly since the change in the addressee policy</w:t>
      </w:r>
      <w:r w:rsidR="001902FF">
        <w:rPr>
          <w:color w:val="000000"/>
        </w:rPr>
        <w:t xml:space="preserve"> of ECHA</w:t>
      </w:r>
      <w:r>
        <w:rPr>
          <w:color w:val="000000"/>
        </w:rPr>
        <w:t xml:space="preserve"> which meant issuing evaluation decisions to both lead and member registrants. </w:t>
      </w:r>
    </w:p>
    <w:p w14:paraId="40D51488" w14:textId="32E24AF3" w:rsidR="00812AAC" w:rsidRPr="006F7998" w:rsidRDefault="006522FF" w:rsidP="00B46DDC">
      <w:pPr>
        <w:pStyle w:val="BodyText"/>
        <w:jc w:val="both"/>
      </w:pPr>
      <w:r>
        <w:rPr>
          <w:color w:val="000000"/>
        </w:rPr>
        <w:t>Also,</w:t>
      </w:r>
      <w:r w:rsidR="00990542">
        <w:rPr>
          <w:color w:val="000000"/>
        </w:rPr>
        <w:t xml:space="preserve"> f</w:t>
      </w:r>
      <w:r w:rsidR="004E32C4">
        <w:rPr>
          <w:color w:val="000000"/>
        </w:rPr>
        <w:t>or these cases</w:t>
      </w:r>
      <w:r w:rsidR="00812AAC">
        <w:rPr>
          <w:color w:val="000000"/>
        </w:rPr>
        <w:t>, the NEA and the Competent Authority of the Member State in which the registrant is located</w:t>
      </w:r>
      <w:r w:rsidR="00812AAC">
        <w:rPr>
          <w:rStyle w:val="FootnoteReference"/>
          <w:color w:val="000000"/>
        </w:rPr>
        <w:footnoteReference w:id="3"/>
      </w:r>
      <w:r w:rsidR="00812AAC" w:rsidRPr="00D17EF7">
        <w:rPr>
          <w:color w:val="000000"/>
        </w:rPr>
        <w:t xml:space="preserve"> </w:t>
      </w:r>
      <w:r w:rsidR="00812AAC">
        <w:rPr>
          <w:color w:val="000000"/>
        </w:rPr>
        <w:t xml:space="preserve">are alerted when </w:t>
      </w:r>
      <w:r w:rsidR="00990542">
        <w:rPr>
          <w:color w:val="000000"/>
        </w:rPr>
        <w:t xml:space="preserve">the </w:t>
      </w:r>
      <w:r w:rsidR="00812AAC">
        <w:rPr>
          <w:color w:val="000000"/>
        </w:rPr>
        <w:t>registration decision is revoked.</w:t>
      </w:r>
    </w:p>
    <w:p w14:paraId="498176EE" w14:textId="77777777" w:rsidR="00812AAC" w:rsidRPr="00A03819" w:rsidRDefault="00812AAC" w:rsidP="00990542">
      <w:pPr>
        <w:pStyle w:val="Heading3"/>
        <w:numPr>
          <w:ilvl w:val="0"/>
          <w:numId w:val="23"/>
        </w:numPr>
        <w:ind w:left="360"/>
        <w:jc w:val="both"/>
      </w:pPr>
      <w:r>
        <w:t>Upon r</w:t>
      </w:r>
      <w:r w:rsidRPr="006F7998">
        <w:t>equests from registrants</w:t>
      </w:r>
    </w:p>
    <w:p w14:paraId="06BC53EB" w14:textId="3F404B14" w:rsidR="00812AAC" w:rsidRDefault="00812AAC" w:rsidP="00990542">
      <w:pPr>
        <w:jc w:val="both"/>
      </w:pPr>
      <w:r w:rsidRPr="006F7998">
        <w:rPr>
          <w:rFonts w:cs="Arial"/>
          <w:bCs/>
          <w:color w:val="000000"/>
          <w:szCs w:val="22"/>
        </w:rPr>
        <w:t>Sometimes registrants request ECHA to</w:t>
      </w:r>
      <w:r>
        <w:rPr>
          <w:rFonts w:cs="Arial"/>
          <w:bCs/>
          <w:color w:val="000000"/>
          <w:szCs w:val="22"/>
        </w:rPr>
        <w:t xml:space="preserve"> revoke their registration</w:t>
      </w:r>
      <w:r w:rsidR="003B1E17">
        <w:rPr>
          <w:rFonts w:cs="Arial"/>
          <w:bCs/>
          <w:color w:val="000000"/>
          <w:szCs w:val="22"/>
        </w:rPr>
        <w:t xml:space="preserve"> decision</w:t>
      </w:r>
      <w:r>
        <w:rPr>
          <w:rFonts w:cs="Arial"/>
          <w:bCs/>
          <w:color w:val="000000"/>
          <w:szCs w:val="22"/>
        </w:rPr>
        <w:t>.</w:t>
      </w:r>
      <w:r w:rsidRPr="006F7998">
        <w:rPr>
          <w:rFonts w:cs="Arial"/>
          <w:bCs/>
          <w:color w:val="000000"/>
          <w:szCs w:val="22"/>
        </w:rPr>
        <w:t xml:space="preserve"> The reasons </w:t>
      </w:r>
      <w:r>
        <w:rPr>
          <w:rFonts w:cs="Arial"/>
          <w:bCs/>
          <w:color w:val="000000"/>
          <w:szCs w:val="22"/>
        </w:rPr>
        <w:t>for this</w:t>
      </w:r>
      <w:r w:rsidRPr="006F7998">
        <w:rPr>
          <w:rFonts w:cs="Arial"/>
          <w:bCs/>
          <w:color w:val="000000"/>
          <w:szCs w:val="22"/>
        </w:rPr>
        <w:t xml:space="preserve"> request vary from having submitted the registration by mistake, </w:t>
      </w:r>
      <w:r>
        <w:rPr>
          <w:rFonts w:cs="Arial"/>
          <w:bCs/>
          <w:color w:val="000000"/>
          <w:szCs w:val="22"/>
        </w:rPr>
        <w:t xml:space="preserve">to </w:t>
      </w:r>
      <w:r w:rsidRPr="006F7998">
        <w:rPr>
          <w:rFonts w:cs="Arial"/>
          <w:bCs/>
          <w:color w:val="000000"/>
          <w:szCs w:val="22"/>
        </w:rPr>
        <w:t>wanting to make a stronger statement after cease manufacture or import</w:t>
      </w:r>
      <w:r>
        <w:rPr>
          <w:rFonts w:cs="Arial"/>
          <w:bCs/>
          <w:color w:val="000000"/>
          <w:szCs w:val="22"/>
        </w:rPr>
        <w:t xml:space="preserve"> under Article 50(2) of REACH</w:t>
      </w:r>
      <w:r w:rsidRPr="006F7998">
        <w:rPr>
          <w:rFonts w:cs="Arial"/>
          <w:bCs/>
          <w:color w:val="000000"/>
          <w:szCs w:val="22"/>
        </w:rPr>
        <w:t>.</w:t>
      </w:r>
      <w:r w:rsidRPr="006F7998">
        <w:t xml:space="preserve"> </w:t>
      </w:r>
    </w:p>
    <w:p w14:paraId="01EC0E7B" w14:textId="77777777" w:rsidR="00812AAC" w:rsidRPr="006F7998" w:rsidRDefault="00812AAC" w:rsidP="00990542">
      <w:pPr>
        <w:jc w:val="both"/>
      </w:pPr>
    </w:p>
    <w:p w14:paraId="1BB89C4C" w14:textId="37392BF2" w:rsidR="00E6235C" w:rsidRDefault="00812AAC" w:rsidP="00990542">
      <w:pPr>
        <w:jc w:val="both"/>
      </w:pPr>
      <w:r w:rsidRPr="008F5494">
        <w:t>ECHA</w:t>
      </w:r>
      <w:r w:rsidR="00990542">
        <w:t xml:space="preserve"> will decide</w:t>
      </w:r>
      <w:r w:rsidR="00BF0CCB">
        <w:t xml:space="preserve"> </w:t>
      </w:r>
      <w:r w:rsidR="00990542">
        <w:t xml:space="preserve">for </w:t>
      </w:r>
      <w:r w:rsidR="00BF0CCB">
        <w:t xml:space="preserve">each request received </w:t>
      </w:r>
      <w:r w:rsidR="00CD4FDE">
        <w:t xml:space="preserve">whether </w:t>
      </w:r>
      <w:r w:rsidR="00283008">
        <w:t xml:space="preserve">they are in the position </w:t>
      </w:r>
      <w:r w:rsidR="00CD4FDE">
        <w:t>to revoke</w:t>
      </w:r>
      <w:r w:rsidR="004768DD">
        <w:t xml:space="preserve"> the registration decision. </w:t>
      </w:r>
    </w:p>
    <w:p w14:paraId="1B3FA05D" w14:textId="1D64023D" w:rsidR="00BF235E" w:rsidRDefault="00BF235E" w:rsidP="00990542">
      <w:pPr>
        <w:jc w:val="both"/>
      </w:pPr>
    </w:p>
    <w:p w14:paraId="1B2C1AB8" w14:textId="4B1261D2" w:rsidR="00812AAC" w:rsidRPr="008F5494" w:rsidRDefault="00812AAC" w:rsidP="00990542">
      <w:pPr>
        <w:jc w:val="both"/>
      </w:pPr>
    </w:p>
    <w:p w14:paraId="40F9108B" w14:textId="72AC0744" w:rsidR="00812AAC" w:rsidRPr="006F7998" w:rsidRDefault="00812AAC" w:rsidP="00812AAC">
      <w:pPr>
        <w:pStyle w:val="Heading2"/>
        <w:jc w:val="both"/>
      </w:pPr>
      <w:r>
        <w:t>Revocation not pursued</w:t>
      </w:r>
    </w:p>
    <w:p w14:paraId="2DFC7DBD" w14:textId="48891CDE" w:rsidR="00812AAC" w:rsidRDefault="00812AAC" w:rsidP="00812AAC">
      <w:pPr>
        <w:pStyle w:val="CommentText"/>
        <w:jc w:val="both"/>
      </w:pPr>
      <w:r>
        <w:t xml:space="preserve">REACH </w:t>
      </w:r>
      <w:r w:rsidR="0005498A">
        <w:t xml:space="preserve">foresees the compliance check (CCH) </w:t>
      </w:r>
      <w:r>
        <w:t>process to address non-compliant registration</w:t>
      </w:r>
      <w:r w:rsidR="0005498A">
        <w:t>s</w:t>
      </w:r>
      <w:r>
        <w:t xml:space="preserve">. ECHA is exclusively competent for </w:t>
      </w:r>
      <w:r w:rsidR="0005498A">
        <w:t xml:space="preserve">issuing decisions on </w:t>
      </w:r>
      <w:r>
        <w:t>non-compliant registration</w:t>
      </w:r>
      <w:r w:rsidR="0005498A">
        <w:t>s</w:t>
      </w:r>
      <w:r>
        <w:t xml:space="preserve"> whereas NEAs are exclusively competent for enforcing CCH decision</w:t>
      </w:r>
      <w:r w:rsidR="0005498A">
        <w:t>s</w:t>
      </w:r>
      <w:r>
        <w:t xml:space="preserve"> that have not been implemented.   </w:t>
      </w:r>
    </w:p>
    <w:p w14:paraId="4A707BF3" w14:textId="77777777" w:rsidR="00812AAC" w:rsidRDefault="00812AAC" w:rsidP="00812AAC">
      <w:pPr>
        <w:pStyle w:val="CommentText"/>
        <w:jc w:val="both"/>
      </w:pPr>
    </w:p>
    <w:p w14:paraId="584FED45" w14:textId="4F2557E6" w:rsidR="00812AAC" w:rsidRPr="006F7998" w:rsidRDefault="0005498A" w:rsidP="00812AAC">
      <w:pPr>
        <w:pStyle w:val="BodyText"/>
        <w:jc w:val="both"/>
      </w:pPr>
      <w:r>
        <w:t>Some</w:t>
      </w:r>
      <w:r w:rsidR="00812AAC">
        <w:t xml:space="preserve"> </w:t>
      </w:r>
      <w:r w:rsidR="00812AAC" w:rsidRPr="006F7998">
        <w:t>NEAs</w:t>
      </w:r>
      <w:r>
        <w:t xml:space="preserve"> have</w:t>
      </w:r>
      <w:r w:rsidR="00812AAC" w:rsidRPr="006F7998">
        <w:t xml:space="preserve"> </w:t>
      </w:r>
      <w:r w:rsidR="00812AAC">
        <w:t xml:space="preserve">requested ECHA </w:t>
      </w:r>
      <w:r w:rsidR="00812AAC" w:rsidRPr="006F7998">
        <w:t>to consider</w:t>
      </w:r>
      <w:r w:rsidR="00DD6CCC">
        <w:t xml:space="preserve"> the possibility of</w:t>
      </w:r>
      <w:r w:rsidR="00812AAC" w:rsidRPr="006F7998">
        <w:t xml:space="preserve"> revoking registration decisions in order to give full effect to enforcement decisions</w:t>
      </w:r>
      <w:r w:rsidR="00CB6469">
        <w:t>,</w:t>
      </w:r>
      <w:r w:rsidR="00812AAC" w:rsidRPr="006F7998">
        <w:t xml:space="preserve"> depriving a registrant from </w:t>
      </w:r>
      <w:r w:rsidR="00812AAC" w:rsidRPr="006F7998">
        <w:lastRenderedPageBreak/>
        <w:t>its right to manufacture or import a substance</w:t>
      </w:r>
      <w:r w:rsidR="00812AAC">
        <w:t xml:space="preserve"> in the EEA rather than just nationally</w:t>
      </w:r>
      <w:r w:rsidR="00812AAC" w:rsidRPr="006F7998">
        <w:t xml:space="preserve">. </w:t>
      </w:r>
    </w:p>
    <w:p w14:paraId="71BF3587" w14:textId="1971C5E6" w:rsidR="00E01A9E" w:rsidRPr="006F7998" w:rsidRDefault="00812AAC" w:rsidP="00812AAC">
      <w:pPr>
        <w:pStyle w:val="BodyText"/>
        <w:jc w:val="both"/>
      </w:pPr>
      <w:r w:rsidRPr="006F7998">
        <w:t xml:space="preserve">NEAs enforce the non-compliance of REACH in their own capacity, using available measures in their national legislation. </w:t>
      </w:r>
      <w:r w:rsidR="003A743C">
        <w:t>However</w:t>
      </w:r>
      <w:r w:rsidRPr="006F7998">
        <w:t xml:space="preserve">, there have been </w:t>
      </w:r>
      <w:r w:rsidR="005525E8">
        <w:t>situations</w:t>
      </w:r>
      <w:r w:rsidR="005525E8" w:rsidRPr="006F7998">
        <w:t xml:space="preserve"> </w:t>
      </w:r>
      <w:r w:rsidRPr="006F7998">
        <w:t xml:space="preserve">where the actions taken by the NEAs have not been effective in bringing the registrant to compliance. In these cases, having the possibility to revoke the registration decision </w:t>
      </w:r>
      <w:r w:rsidR="005F2FB2">
        <w:t>w</w:t>
      </w:r>
      <w:r w:rsidR="006E1678">
        <w:t>ould</w:t>
      </w:r>
      <w:r w:rsidR="005F2FB2">
        <w:t xml:space="preserve"> ensure</w:t>
      </w:r>
      <w:r w:rsidRPr="006F7998">
        <w:t xml:space="preserve"> compliance with REACH</w:t>
      </w:r>
      <w:r w:rsidR="005F2FB2">
        <w:t xml:space="preserve"> and strengthen the principle of ‘no data no market’</w:t>
      </w:r>
      <w:r w:rsidRPr="006F7998">
        <w:t xml:space="preserve">. </w:t>
      </w:r>
      <w:r w:rsidR="00492012">
        <w:t xml:space="preserve">An example of such a </w:t>
      </w:r>
      <w:r w:rsidR="005525E8">
        <w:t xml:space="preserve">situation </w:t>
      </w:r>
      <w:r w:rsidR="00492012">
        <w:t>is when</w:t>
      </w:r>
      <w:r w:rsidR="005525E8">
        <w:t xml:space="preserve"> the registrant </w:t>
      </w:r>
      <w:r w:rsidR="00877463">
        <w:t xml:space="preserve">is an Only Representative who is directly supplying downstream users in other </w:t>
      </w:r>
      <w:r w:rsidR="00492012">
        <w:t xml:space="preserve">EEA </w:t>
      </w:r>
      <w:r w:rsidR="00877463">
        <w:t>countries without importing</w:t>
      </w:r>
      <w:r w:rsidR="00492012">
        <w:t xml:space="preserve"> the substance</w:t>
      </w:r>
      <w:r w:rsidR="00877463">
        <w:t xml:space="preserve"> in the own country.</w:t>
      </w:r>
      <w:r w:rsidR="005525E8">
        <w:t xml:space="preserve"> </w:t>
      </w:r>
    </w:p>
    <w:p w14:paraId="404B2C52" w14:textId="5589D85E" w:rsidR="00225D12" w:rsidRDefault="00812AAC" w:rsidP="0053287C">
      <w:pPr>
        <w:pStyle w:val="BodyText"/>
        <w:jc w:val="both"/>
      </w:pPr>
      <w:r>
        <w:t xml:space="preserve">The </w:t>
      </w:r>
      <w:r w:rsidRPr="006F7998">
        <w:t xml:space="preserve">Commission has </w:t>
      </w:r>
      <w:r w:rsidR="00BF235E">
        <w:t>clarified</w:t>
      </w:r>
      <w:r w:rsidRPr="006F7998">
        <w:t xml:space="preserve"> that REACH does not </w:t>
      </w:r>
      <w:r w:rsidR="00BF235E">
        <w:t xml:space="preserve">provide a legal basis </w:t>
      </w:r>
      <w:r w:rsidR="00534014">
        <w:t xml:space="preserve">for ECHA to perform </w:t>
      </w:r>
      <w:r w:rsidRPr="006F7998">
        <w:t>this</w:t>
      </w:r>
      <w:r w:rsidR="00400782">
        <w:t xml:space="preserve"> type of revocation</w:t>
      </w:r>
      <w:r w:rsidR="0014012C">
        <w:t>,</w:t>
      </w:r>
      <w:r w:rsidRPr="006F7998">
        <w:t xml:space="preserve"> and that a modification of the legal text will be necessary </w:t>
      </w:r>
      <w:r>
        <w:t>before</w:t>
      </w:r>
      <w:r w:rsidRPr="006F7998">
        <w:t xml:space="preserve"> ECHA </w:t>
      </w:r>
      <w:r>
        <w:t xml:space="preserve">can </w:t>
      </w:r>
      <w:r w:rsidR="00946E7C">
        <w:t>revoke</w:t>
      </w:r>
      <w:r>
        <w:t xml:space="preserve"> the registration</w:t>
      </w:r>
      <w:r w:rsidR="00946E7C">
        <w:t xml:space="preserve"> decisions</w:t>
      </w:r>
      <w:r>
        <w:t xml:space="preserve"> of non-compliant companies</w:t>
      </w:r>
      <w:r w:rsidRPr="006F7998">
        <w:t xml:space="preserve">. </w:t>
      </w:r>
    </w:p>
    <w:p w14:paraId="2A678507" w14:textId="17CDB27D" w:rsidR="00B26122" w:rsidRDefault="00225D12" w:rsidP="00E26D87">
      <w:pPr>
        <w:pStyle w:val="BodyText"/>
        <w:jc w:val="both"/>
      </w:pPr>
      <w:r>
        <w:t xml:space="preserve">The </w:t>
      </w:r>
      <w:r w:rsidR="00946E7C">
        <w:t xml:space="preserve">Commission has foreseen in its </w:t>
      </w:r>
      <w:r>
        <w:t xml:space="preserve">Chemical Strategy for Sustainability </w:t>
      </w:r>
      <w:r w:rsidR="00B26122">
        <w:t xml:space="preserve">the modification of the REACH Regulation needed to provide the legal competence to revoke registration decisions of </w:t>
      </w:r>
      <w:r w:rsidR="00961979">
        <w:t>non-compliant</w:t>
      </w:r>
      <w:r w:rsidR="00B26122">
        <w:t xml:space="preserve"> companies </w:t>
      </w:r>
      <w:r w:rsidR="00961979">
        <w:t>to ECHA by 2022.</w:t>
      </w:r>
    </w:p>
    <w:p w14:paraId="2D4BC10A" w14:textId="77777777" w:rsidR="00E26D87" w:rsidRDefault="00E26D87" w:rsidP="00E26D87">
      <w:pPr>
        <w:pStyle w:val="BodyText"/>
        <w:jc w:val="both"/>
      </w:pPr>
    </w:p>
    <w:p w14:paraId="2325AD14" w14:textId="77777777" w:rsidR="00812AAC" w:rsidRPr="00F17186" w:rsidRDefault="00812AAC" w:rsidP="00812AAC">
      <w:pPr>
        <w:pStyle w:val="Heading1"/>
        <w:jc w:val="both"/>
      </w:pPr>
      <w:r w:rsidRPr="00F17186">
        <w:t>Dissemination on the ECHA website</w:t>
      </w:r>
    </w:p>
    <w:p w14:paraId="776D9A20" w14:textId="45E6CCDB" w:rsidR="00812AAC" w:rsidRPr="00F17186" w:rsidRDefault="00812AAC" w:rsidP="00812AAC">
      <w:pPr>
        <w:pStyle w:val="BodyText"/>
        <w:jc w:val="both"/>
      </w:pPr>
      <w:r>
        <w:t>I</w:t>
      </w:r>
      <w:r w:rsidRPr="00F17186">
        <w:t xml:space="preserve">nformation on </w:t>
      </w:r>
      <w:r>
        <w:t xml:space="preserve">no longer valid </w:t>
      </w:r>
      <w:r w:rsidRPr="00F17186">
        <w:t>registrations and registrants having ceased manufacture or import</w:t>
      </w:r>
      <w:r w:rsidR="00E03492">
        <w:t>,</w:t>
      </w:r>
      <w:r w:rsidRPr="00F17186">
        <w:t xml:space="preserve"> is available to the registrants in the joint submission</w:t>
      </w:r>
      <w:r w:rsidR="009025B7">
        <w:t xml:space="preserve"> and to the Competent Authorities</w:t>
      </w:r>
      <w:r w:rsidR="00CD4F11">
        <w:t xml:space="preserve"> </w:t>
      </w:r>
      <w:r w:rsidR="00CD4F11" w:rsidRPr="00F17186">
        <w:t>in REACH-IT</w:t>
      </w:r>
      <w:r w:rsidR="009025B7">
        <w:t xml:space="preserve">, and via the </w:t>
      </w:r>
      <w:r w:rsidR="009E1C95">
        <w:t>Interact Portal also to NEAs</w:t>
      </w:r>
      <w:r w:rsidR="002A6A3E">
        <w:t xml:space="preserve">. This </w:t>
      </w:r>
      <w:r w:rsidR="00E03492">
        <w:t>information clarifies</w:t>
      </w:r>
      <w:r w:rsidRPr="00F17186">
        <w:t xml:space="preserve"> which co-registrants still have obligations </w:t>
      </w:r>
      <w:r w:rsidR="00CD4F11">
        <w:t>under REACH for</w:t>
      </w:r>
      <w:r w:rsidR="00CD4F11" w:rsidRPr="00F17186">
        <w:t xml:space="preserve"> </w:t>
      </w:r>
      <w:r w:rsidRPr="00F17186">
        <w:t xml:space="preserve">the substance and should contribute to </w:t>
      </w:r>
      <w:r w:rsidR="00CD4F11">
        <w:t>maintaining</w:t>
      </w:r>
      <w:r w:rsidR="00CD4F11" w:rsidRPr="00F17186">
        <w:t xml:space="preserve"> </w:t>
      </w:r>
      <w:r w:rsidRPr="00F17186">
        <w:t xml:space="preserve">the </w:t>
      </w:r>
      <w:r w:rsidR="00CD4F11">
        <w:t xml:space="preserve">registration </w:t>
      </w:r>
      <w:r w:rsidRPr="00F17186">
        <w:t>dossier</w:t>
      </w:r>
      <w:r w:rsidR="00CD4F11">
        <w:t xml:space="preserve"> compliant and </w:t>
      </w:r>
      <w:r w:rsidR="002C167B">
        <w:t>up to date</w:t>
      </w:r>
      <w:r w:rsidRPr="00F17186">
        <w:t>.</w:t>
      </w:r>
    </w:p>
    <w:p w14:paraId="42BEB0DD" w14:textId="5A14E9A7" w:rsidR="00812AAC" w:rsidRPr="00F17186" w:rsidRDefault="00812AAC">
      <w:pPr>
        <w:pStyle w:val="BodyText"/>
        <w:jc w:val="both"/>
      </w:pPr>
      <w:r w:rsidRPr="00F17186">
        <w:t>In order to bring more transparency on</w:t>
      </w:r>
      <w:r w:rsidR="00CD4F11">
        <w:t xml:space="preserve"> the</w:t>
      </w:r>
      <w:r w:rsidRPr="00F17186">
        <w:t xml:space="preserve"> </w:t>
      </w:r>
      <w:r>
        <w:t>status of registrations</w:t>
      </w:r>
      <w:r w:rsidRPr="00F17186">
        <w:t xml:space="preserve"> to downstream users and the public, ECHA </w:t>
      </w:r>
      <w:r w:rsidR="00CD4F11">
        <w:t xml:space="preserve">also </w:t>
      </w:r>
      <w:r w:rsidR="002A6A3E">
        <w:t xml:space="preserve">publishes </w:t>
      </w:r>
      <w:r>
        <w:t xml:space="preserve">this information </w:t>
      </w:r>
      <w:r w:rsidR="00C16E24">
        <w:t>under the Information on chemicals section of</w:t>
      </w:r>
      <w:r w:rsidR="00C16E24" w:rsidRPr="00F17186">
        <w:t xml:space="preserve"> </w:t>
      </w:r>
      <w:r w:rsidR="00C16E24">
        <w:t>its</w:t>
      </w:r>
      <w:r w:rsidRPr="00F17186">
        <w:t xml:space="preserve"> website</w:t>
      </w:r>
      <w:r w:rsidR="009E1C95">
        <w:t xml:space="preserve"> since March 2020</w:t>
      </w:r>
      <w:r w:rsidRPr="00F17186">
        <w:t xml:space="preserve">. </w:t>
      </w:r>
      <w:r w:rsidR="00D67AFF">
        <w:t xml:space="preserve">In the </w:t>
      </w:r>
      <w:r w:rsidR="00A603AE">
        <w:t>Registered substance F</w:t>
      </w:r>
      <w:r w:rsidR="00D67AFF">
        <w:t>actsheets, r</w:t>
      </w:r>
      <w:r w:rsidRPr="00F17186">
        <w:t xml:space="preserve">egistrants </w:t>
      </w:r>
      <w:r w:rsidR="002A6A3E">
        <w:t>are</w:t>
      </w:r>
      <w:r w:rsidR="002A6A3E" w:rsidRPr="00F17186">
        <w:t xml:space="preserve"> </w:t>
      </w:r>
      <w:r w:rsidRPr="00F17186">
        <w:t>be clearly separated by those who are active</w:t>
      </w:r>
      <w:r w:rsidR="001A7B79">
        <w:t>;</w:t>
      </w:r>
      <w:r w:rsidRPr="00F17186">
        <w:t xml:space="preserve"> those who have ceased manufacture or import </w:t>
      </w:r>
      <w:r w:rsidR="001A7B79">
        <w:t xml:space="preserve">in a situation outside of Article 50(3) </w:t>
      </w:r>
      <w:r w:rsidRPr="00F17186">
        <w:t>for which the registrant can decide at any time to resume manufacture or import</w:t>
      </w:r>
      <w:r w:rsidR="001A7B79">
        <w:t>;</w:t>
      </w:r>
      <w:r w:rsidRPr="00F17186">
        <w:t xml:space="preserve"> and those whose registrations are no longer valid.</w:t>
      </w:r>
    </w:p>
    <w:p w14:paraId="2893F636" w14:textId="6F549683" w:rsidR="00812AAC" w:rsidRDefault="00B50DE9" w:rsidP="00812AAC">
      <w:pPr>
        <w:pStyle w:val="BodyText"/>
        <w:jc w:val="both"/>
      </w:pPr>
      <w:r>
        <w:t xml:space="preserve">The </w:t>
      </w:r>
      <w:r w:rsidR="00A603AE">
        <w:t xml:space="preserve">Factsheet </w:t>
      </w:r>
      <w:r>
        <w:t xml:space="preserve">section </w:t>
      </w:r>
      <w:r w:rsidR="00812AAC">
        <w:t xml:space="preserve">“Registrants/Suppliers Details” contains the names of the registrants, whereas “Administrative data” contains registration numbers. </w:t>
      </w:r>
      <w:r w:rsidR="00812AAC" w:rsidRPr="00F17186">
        <w:t xml:space="preserve">The information </w:t>
      </w:r>
      <w:r w:rsidR="00812AAC">
        <w:t>is</w:t>
      </w:r>
      <w:r w:rsidR="00812AAC" w:rsidRPr="00F17186">
        <w:t xml:space="preserve"> disseminated</w:t>
      </w:r>
      <w:r w:rsidR="00812AAC">
        <w:t xml:space="preserve"> as</w:t>
      </w:r>
      <w:r w:rsidR="00A603AE">
        <w:t xml:space="preserve"> follows</w:t>
      </w:r>
      <w:r w:rsidR="00812AAC">
        <w:t>:</w:t>
      </w:r>
    </w:p>
    <w:p w14:paraId="4F594CFC" w14:textId="77777777" w:rsidR="00812AAC" w:rsidRPr="00F17186" w:rsidRDefault="00812AAC" w:rsidP="00812AAC">
      <w:pPr>
        <w:pStyle w:val="BodyText"/>
        <w:jc w:val="both"/>
      </w:pPr>
      <w:r>
        <w:rPr>
          <w:noProof/>
          <w:snapToGrid/>
          <w:lang w:eastAsia="en-GB"/>
        </w:rPr>
        <w:lastRenderedPageBreak/>
        <w:drawing>
          <wp:inline distT="0" distB="0" distL="0" distR="0" wp14:anchorId="6CD4AA58" wp14:editId="4FFA1DC7">
            <wp:extent cx="5728869" cy="3593990"/>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2257" cy="3608662"/>
                    </a:xfrm>
                    <a:prstGeom prst="rect">
                      <a:avLst/>
                    </a:prstGeom>
                  </pic:spPr>
                </pic:pic>
              </a:graphicData>
            </a:graphic>
          </wp:inline>
        </w:drawing>
      </w:r>
    </w:p>
    <w:bookmarkEnd w:id="2"/>
    <w:p w14:paraId="3B3C7260" w14:textId="58C65873" w:rsidR="00D91EAE" w:rsidRPr="006F7998" w:rsidRDefault="00D91EAE" w:rsidP="00887C62">
      <w:pPr>
        <w:pStyle w:val="BodyText"/>
        <w:jc w:val="both"/>
      </w:pPr>
    </w:p>
    <w:sectPr w:rsidR="00D91EAE" w:rsidRPr="006F7998" w:rsidSect="00491A3A">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78C4" w14:textId="77777777" w:rsidR="00DF254F" w:rsidRDefault="00DF254F" w:rsidP="00AE399F">
      <w:r>
        <w:separator/>
      </w:r>
    </w:p>
  </w:endnote>
  <w:endnote w:type="continuationSeparator" w:id="0">
    <w:p w14:paraId="7262E52F" w14:textId="77777777" w:rsidR="00DF254F" w:rsidRDefault="00DF254F" w:rsidP="00AE399F">
      <w:r>
        <w:continuationSeparator/>
      </w:r>
    </w:p>
  </w:endnote>
  <w:endnote w:type="continuationNotice" w:id="1">
    <w:p w14:paraId="155FA815" w14:textId="77777777" w:rsidR="00DF254F" w:rsidRDefault="00DF2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69A4" w14:textId="77777777" w:rsidR="00DF254F" w:rsidRDefault="00DF254F" w:rsidP="00AE399F">
      <w:r>
        <w:separator/>
      </w:r>
    </w:p>
  </w:footnote>
  <w:footnote w:type="continuationSeparator" w:id="0">
    <w:p w14:paraId="4F771A74" w14:textId="77777777" w:rsidR="00DF254F" w:rsidRDefault="00DF254F" w:rsidP="00AE399F">
      <w:r>
        <w:continuationSeparator/>
      </w:r>
    </w:p>
  </w:footnote>
  <w:footnote w:type="continuationNotice" w:id="1">
    <w:p w14:paraId="2E261F82" w14:textId="77777777" w:rsidR="00DF254F" w:rsidRDefault="00DF254F"/>
  </w:footnote>
  <w:footnote w:id="2">
    <w:p w14:paraId="516829D9" w14:textId="3B69A4A0" w:rsidR="001902FF" w:rsidRPr="001902FF" w:rsidRDefault="001902FF">
      <w:pPr>
        <w:pStyle w:val="FootnoteText"/>
      </w:pPr>
      <w:r>
        <w:rPr>
          <w:rStyle w:val="FootnoteReference"/>
        </w:rPr>
        <w:footnoteRef/>
      </w:r>
      <w:r>
        <w:t xml:space="preserve"> Based on the Protocol on Ireland and Northern Ireland this will not apply to registrants based in Northern Ireland.</w:t>
      </w:r>
    </w:p>
  </w:footnote>
  <w:footnote w:id="3">
    <w:p w14:paraId="1D9A7D1E" w14:textId="77777777" w:rsidR="00812AAC" w:rsidRDefault="00812AAC" w:rsidP="00812AAC">
      <w:pPr>
        <w:pStyle w:val="FootnoteText"/>
        <w:jc w:val="both"/>
      </w:pPr>
      <w:r>
        <w:rPr>
          <w:rStyle w:val="FootnoteReference"/>
        </w:rPr>
        <w:footnoteRef/>
      </w:r>
      <w:r>
        <w:t xml:space="preserve"> In case the production site is in a different Member State, ECHA informs also the Competent Authority of this Member State. For Substance Evaluation cases, the Evaluating Member State is also informed.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89A1" w14:textId="1979154E" w:rsidR="00DF254F" w:rsidRDefault="00DF254F" w:rsidP="00491A3A">
    <w:pPr>
      <w:tabs>
        <w:tab w:val="left" w:pos="4536"/>
        <w:tab w:val="left" w:pos="7088"/>
        <w:tab w:val="left" w:pos="8789"/>
      </w:tabs>
    </w:pPr>
    <w:r>
      <w:rPr>
        <w:noProof/>
        <w:lang w:eastAsia="en-GB"/>
      </w:rPr>
      <w:drawing>
        <wp:anchor distT="0" distB="0" distL="114300" distR="114300" simplePos="0" relativeHeight="251658240" behindDoc="1" locked="0" layoutInCell="1" allowOverlap="1" wp14:anchorId="28F1D9E3" wp14:editId="6140A43E">
          <wp:simplePos x="0" y="0"/>
          <wp:positionH relativeFrom="page">
            <wp:posOffset>900430</wp:posOffset>
          </wp:positionH>
          <wp:positionV relativeFrom="page">
            <wp:posOffset>540385</wp:posOffset>
          </wp:positionV>
          <wp:extent cx="2082800" cy="533400"/>
          <wp:effectExtent l="0" t="0" r="0" b="0"/>
          <wp:wrapNone/>
          <wp:docPr id="2" name="Picture 2"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pic:spPr>
              </pic:pic>
            </a:graphicData>
          </a:graphic>
          <wp14:sizeRelH relativeFrom="page">
            <wp14:pctWidth>0</wp14:pctWidth>
          </wp14:sizeRelH>
          <wp14:sizeRelV relativeFrom="page">
            <wp14:pctHeight>0</wp14:pctHeight>
          </wp14:sizeRelV>
        </wp:anchor>
      </w:drawing>
    </w:r>
    <w:r w:rsidRPr="001A5E7E">
      <w:tab/>
    </w:r>
    <w:r w:rsidRPr="001A5E7E">
      <w:tab/>
    </w:r>
    <w:r w:rsidRPr="001A5E7E">
      <w:tab/>
    </w:r>
    <w:r w:rsidRPr="001A5E7E">
      <w:fldChar w:fldCharType="begin"/>
    </w:r>
    <w:r w:rsidRPr="001A5E7E">
      <w:instrText xml:space="preserve"> PAGE </w:instrText>
    </w:r>
    <w:r w:rsidRPr="001A5E7E">
      <w:fldChar w:fldCharType="separate"/>
    </w:r>
    <w:r w:rsidR="00074E4A">
      <w:rPr>
        <w:noProof/>
      </w:rPr>
      <w:t>6</w:t>
    </w:r>
    <w:r w:rsidRPr="001A5E7E">
      <w:fldChar w:fldCharType="end"/>
    </w:r>
    <w:r>
      <w:t xml:space="preserve"> </w:t>
    </w:r>
  </w:p>
  <w:p w14:paraId="72B754AC" w14:textId="3C250921" w:rsidR="00DF254F" w:rsidRDefault="00DF254F" w:rsidP="00491A3A">
    <w:pPr>
      <w:tabs>
        <w:tab w:val="left" w:pos="4536"/>
        <w:tab w:val="left" w:pos="7088"/>
        <w:tab w:val="left" w:pos="8789"/>
      </w:tabs>
      <w:jc w:val="right"/>
      <w:rPr>
        <w:b/>
        <w:color w:val="0046AD"/>
        <w:sz w:val="22"/>
        <w:szCs w:val="22"/>
      </w:rPr>
    </w:pPr>
    <w:r>
      <w:rPr>
        <w:szCs w:val="22"/>
      </w:rPr>
      <w:tab/>
    </w:r>
  </w:p>
  <w:p w14:paraId="7E384BA8" w14:textId="77777777" w:rsidR="00DF254F" w:rsidRDefault="00DF254F" w:rsidP="00491A3A">
    <w:pPr>
      <w:pStyle w:val="Header"/>
    </w:pPr>
  </w:p>
  <w:p w14:paraId="4F1767E7" w14:textId="77777777" w:rsidR="00DF254F" w:rsidRDefault="00DF254F" w:rsidP="00491A3A">
    <w:pPr>
      <w:pStyle w:val="Header"/>
    </w:pPr>
  </w:p>
  <w:p w14:paraId="65DB9290" w14:textId="77777777" w:rsidR="00DF254F" w:rsidRDefault="00DF254F" w:rsidP="00491A3A">
    <w:pPr>
      <w:pStyle w:val="Header"/>
    </w:pPr>
  </w:p>
  <w:p w14:paraId="339290CE" w14:textId="77777777" w:rsidR="00DF254F" w:rsidRDefault="00DF254F" w:rsidP="00491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0945" w14:textId="1744B9FE" w:rsidR="00DF254F" w:rsidRDefault="00DF254F" w:rsidP="002C0E3D">
    <w:r>
      <w:rPr>
        <w:noProof/>
        <w:lang w:eastAsia="en-GB"/>
      </w:rPr>
      <w:drawing>
        <wp:anchor distT="0" distB="0" distL="114300" distR="114300" simplePos="0" relativeHeight="251665408" behindDoc="1" locked="0" layoutInCell="1" allowOverlap="1" wp14:anchorId="7596C416" wp14:editId="33ED6D9D">
          <wp:simplePos x="0" y="0"/>
          <wp:positionH relativeFrom="page">
            <wp:posOffset>900430</wp:posOffset>
          </wp:positionH>
          <wp:positionV relativeFrom="page">
            <wp:posOffset>540385</wp:posOffset>
          </wp:positionV>
          <wp:extent cx="2082800" cy="533400"/>
          <wp:effectExtent l="0" t="0" r="0" b="0"/>
          <wp:wrapNone/>
          <wp:docPr id="3" name="Picture 3"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pic:spPr>
              </pic:pic>
            </a:graphicData>
          </a:graphic>
          <wp14:sizeRelH relativeFrom="page">
            <wp14:pctWidth>0</wp14:pctWidth>
          </wp14:sizeRelH>
          <wp14:sizeRelV relativeFrom="page">
            <wp14:pctHeight>0</wp14:pctHeight>
          </wp14:sizeRelV>
        </wp:anchor>
      </w:drawing>
    </w:r>
    <w:r w:rsidRPr="001A5E7E">
      <w:tab/>
    </w:r>
    <w:r w:rsidRPr="001A5E7E">
      <w:tab/>
    </w:r>
    <w:r w:rsidR="002C0E3D">
      <w:tab/>
    </w:r>
    <w:r w:rsidR="002C0E3D">
      <w:tab/>
    </w:r>
    <w:r w:rsidR="002C0E3D">
      <w:tab/>
    </w:r>
    <w:r w:rsidR="002C0E3D">
      <w:tab/>
    </w:r>
    <w:r w:rsidR="002C0E3D">
      <w:tab/>
    </w:r>
    <w:r w:rsidR="002C0E3D">
      <w:tab/>
    </w:r>
    <w:r w:rsidR="002C0E3D">
      <w:tab/>
    </w:r>
    <w:r w:rsidR="002C0E3D">
      <w:tab/>
    </w:r>
    <w:r w:rsidR="002C0E3D">
      <w:tab/>
    </w:r>
    <w:r w:rsidRPr="001A5E7E">
      <w:fldChar w:fldCharType="begin"/>
    </w:r>
    <w:r w:rsidRPr="001A5E7E">
      <w:instrText xml:space="preserve"> PAGE </w:instrText>
    </w:r>
    <w:r w:rsidRPr="001A5E7E">
      <w:fldChar w:fldCharType="separate"/>
    </w:r>
    <w:r w:rsidR="00074E4A">
      <w:rPr>
        <w:noProof/>
      </w:rPr>
      <w:t>1</w:t>
    </w:r>
    <w:r w:rsidRPr="001A5E7E">
      <w:fldChar w:fldCharType="end"/>
    </w:r>
    <w:r w:rsidRPr="001A5E7E">
      <w:t xml:space="preserve"> (</w:t>
    </w:r>
    <w:r w:rsidR="007F6333">
      <w:rPr>
        <w:noProof/>
      </w:rPr>
      <w:fldChar w:fldCharType="begin"/>
    </w:r>
    <w:r w:rsidR="007F6333">
      <w:rPr>
        <w:noProof/>
      </w:rPr>
      <w:instrText xml:space="preserve"> NUMPAGES </w:instrText>
    </w:r>
    <w:r w:rsidR="007F6333">
      <w:rPr>
        <w:noProof/>
      </w:rPr>
      <w:fldChar w:fldCharType="separate"/>
    </w:r>
    <w:r w:rsidR="00074E4A">
      <w:rPr>
        <w:noProof/>
      </w:rPr>
      <w:t>7</w:t>
    </w:r>
    <w:r w:rsidR="007F6333">
      <w:rPr>
        <w:noProof/>
      </w:rPr>
      <w:fldChar w:fldCharType="end"/>
    </w:r>
    <w:r w:rsidRPr="001A5E7E">
      <w:t>)</w:t>
    </w:r>
  </w:p>
  <w:p w14:paraId="5D574E1E" w14:textId="79185A4D" w:rsidR="00DF254F" w:rsidRDefault="00DF254F" w:rsidP="00491A3A">
    <w:pPr>
      <w:tabs>
        <w:tab w:val="left" w:pos="4536"/>
        <w:tab w:val="left" w:pos="7088"/>
        <w:tab w:val="left" w:pos="8789"/>
      </w:tabs>
      <w:rPr>
        <w:b/>
        <w:color w:val="0046AD"/>
        <w:sz w:val="22"/>
        <w:szCs w:val="22"/>
      </w:rPr>
    </w:pPr>
    <w:r>
      <w:rPr>
        <w:szCs w:val="22"/>
      </w:rPr>
      <w:tab/>
    </w:r>
  </w:p>
  <w:p w14:paraId="795CBB9F" w14:textId="48614641" w:rsidR="00DF254F" w:rsidRPr="00E511F0" w:rsidRDefault="00DF254F" w:rsidP="00491A3A">
    <w:pPr>
      <w:tabs>
        <w:tab w:val="left" w:pos="4536"/>
        <w:tab w:val="left" w:pos="7088"/>
        <w:tab w:val="left" w:pos="8789"/>
      </w:tabs>
      <w:rPr>
        <w:b/>
        <w:szCs w:val="22"/>
      </w:rPr>
    </w:pPr>
    <w:r>
      <w:rPr>
        <w:b/>
        <w:color w:val="0046AD"/>
        <w:sz w:val="22"/>
        <w:szCs w:val="22"/>
      </w:rPr>
      <w:tab/>
    </w:r>
    <w:r w:rsidRPr="00E511F0">
      <w:rPr>
        <w:b/>
        <w:szCs w:val="22"/>
      </w:rPr>
      <w:tab/>
    </w:r>
    <w:r w:rsidRPr="00E511F0">
      <w:rPr>
        <w:b/>
        <w:szCs w:val="22"/>
      </w:rPr>
      <w:tab/>
    </w:r>
    <w:r w:rsidRPr="00E511F0">
      <w:rPr>
        <w:b/>
        <w:szCs w:val="22"/>
      </w:rPr>
      <w:tab/>
    </w:r>
  </w:p>
  <w:p w14:paraId="279371FA" w14:textId="77777777" w:rsidR="00DF254F" w:rsidRDefault="00DF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9FE"/>
    <w:multiLevelType w:val="hybridMultilevel"/>
    <w:tmpl w:val="9802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10D3"/>
    <w:multiLevelType w:val="hybridMultilevel"/>
    <w:tmpl w:val="B2B8F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B563A"/>
    <w:multiLevelType w:val="hybridMultilevel"/>
    <w:tmpl w:val="8ED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4D6"/>
    <w:multiLevelType w:val="hybridMultilevel"/>
    <w:tmpl w:val="B75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5109D"/>
    <w:multiLevelType w:val="hybridMultilevel"/>
    <w:tmpl w:val="8ED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6"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587F9E"/>
    <w:multiLevelType w:val="hybridMultilevel"/>
    <w:tmpl w:val="7E0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FF4381"/>
    <w:multiLevelType w:val="hybridMultilevel"/>
    <w:tmpl w:val="C1A43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B77AC"/>
    <w:multiLevelType w:val="multilevel"/>
    <w:tmpl w:val="9A36A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DC5CFC"/>
    <w:multiLevelType w:val="hybridMultilevel"/>
    <w:tmpl w:val="01E033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6B3A6E9A"/>
    <w:multiLevelType w:val="hybridMultilevel"/>
    <w:tmpl w:val="BFDE27FA"/>
    <w:lvl w:ilvl="0" w:tplc="95E61B12">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1"/>
  </w:num>
  <w:num w:numId="14">
    <w:abstractNumId w:val="13"/>
  </w:num>
  <w:num w:numId="15">
    <w:abstractNumId w:val="0"/>
  </w:num>
  <w:num w:numId="16">
    <w:abstractNumId w:val="7"/>
  </w:num>
  <w:num w:numId="17">
    <w:abstractNumId w:val="10"/>
  </w:num>
  <w:num w:numId="18">
    <w:abstractNumId w:val="5"/>
  </w:num>
  <w:num w:numId="19">
    <w:abstractNumId w:val="3"/>
  </w:num>
  <w:num w:numId="20">
    <w:abstractNumId w:val="9"/>
  </w:num>
  <w:num w:numId="21">
    <w:abstractNumId w:val="2"/>
  </w:num>
  <w:num w:numId="22">
    <w:abstractNumId w:val="1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0C51"/>
    <w:rsid w:val="00001872"/>
    <w:rsid w:val="000128A6"/>
    <w:rsid w:val="00012E38"/>
    <w:rsid w:val="0005498A"/>
    <w:rsid w:val="00074E4A"/>
    <w:rsid w:val="00083557"/>
    <w:rsid w:val="000B3DE5"/>
    <w:rsid w:val="000B447B"/>
    <w:rsid w:val="000C3D10"/>
    <w:rsid w:val="000D0086"/>
    <w:rsid w:val="000D0165"/>
    <w:rsid w:val="000D0FF5"/>
    <w:rsid w:val="000D1614"/>
    <w:rsid w:val="000E0E81"/>
    <w:rsid w:val="000E3750"/>
    <w:rsid w:val="000E49DF"/>
    <w:rsid w:val="000E7E64"/>
    <w:rsid w:val="000F70FE"/>
    <w:rsid w:val="001013A9"/>
    <w:rsid w:val="001054B4"/>
    <w:rsid w:val="0011405B"/>
    <w:rsid w:val="0014012C"/>
    <w:rsid w:val="0014057D"/>
    <w:rsid w:val="00140AC3"/>
    <w:rsid w:val="00154AE3"/>
    <w:rsid w:val="00155F3B"/>
    <w:rsid w:val="001607F5"/>
    <w:rsid w:val="001902FF"/>
    <w:rsid w:val="001949D2"/>
    <w:rsid w:val="001A7B79"/>
    <w:rsid w:val="001D0EEC"/>
    <w:rsid w:val="001E6552"/>
    <w:rsid w:val="001F24CA"/>
    <w:rsid w:val="002009FB"/>
    <w:rsid w:val="00202146"/>
    <w:rsid w:val="00215CE2"/>
    <w:rsid w:val="00225D12"/>
    <w:rsid w:val="00235441"/>
    <w:rsid w:val="00247607"/>
    <w:rsid w:val="002522E0"/>
    <w:rsid w:val="00266A07"/>
    <w:rsid w:val="0027017F"/>
    <w:rsid w:val="002775D6"/>
    <w:rsid w:val="00277E25"/>
    <w:rsid w:val="0028035D"/>
    <w:rsid w:val="002806E1"/>
    <w:rsid w:val="00280A75"/>
    <w:rsid w:val="00283008"/>
    <w:rsid w:val="00290695"/>
    <w:rsid w:val="00294140"/>
    <w:rsid w:val="002A3E8E"/>
    <w:rsid w:val="002A6A3E"/>
    <w:rsid w:val="002B163D"/>
    <w:rsid w:val="002B4E39"/>
    <w:rsid w:val="002B7E14"/>
    <w:rsid w:val="002C0E3D"/>
    <w:rsid w:val="002C167B"/>
    <w:rsid w:val="002C447F"/>
    <w:rsid w:val="002D5B74"/>
    <w:rsid w:val="00324AC8"/>
    <w:rsid w:val="0032715F"/>
    <w:rsid w:val="00355C01"/>
    <w:rsid w:val="00363D7D"/>
    <w:rsid w:val="00372A64"/>
    <w:rsid w:val="00377F14"/>
    <w:rsid w:val="00382B52"/>
    <w:rsid w:val="003967AD"/>
    <w:rsid w:val="003A332C"/>
    <w:rsid w:val="003A377B"/>
    <w:rsid w:val="003A3F42"/>
    <w:rsid w:val="003A743C"/>
    <w:rsid w:val="003A7A6A"/>
    <w:rsid w:val="003B0EA1"/>
    <w:rsid w:val="003B1E17"/>
    <w:rsid w:val="003B7BE8"/>
    <w:rsid w:val="003C531D"/>
    <w:rsid w:val="003F578A"/>
    <w:rsid w:val="00400782"/>
    <w:rsid w:val="00401DED"/>
    <w:rsid w:val="00414F01"/>
    <w:rsid w:val="00420769"/>
    <w:rsid w:val="00422215"/>
    <w:rsid w:val="0042276E"/>
    <w:rsid w:val="00460869"/>
    <w:rsid w:val="00464794"/>
    <w:rsid w:val="004656FA"/>
    <w:rsid w:val="00474321"/>
    <w:rsid w:val="004768DD"/>
    <w:rsid w:val="00483BA9"/>
    <w:rsid w:val="0049148F"/>
    <w:rsid w:val="00491A3A"/>
    <w:rsid w:val="00492012"/>
    <w:rsid w:val="00496943"/>
    <w:rsid w:val="004B5F6C"/>
    <w:rsid w:val="004E32C4"/>
    <w:rsid w:val="004E3A10"/>
    <w:rsid w:val="005025C3"/>
    <w:rsid w:val="0051317F"/>
    <w:rsid w:val="005203CB"/>
    <w:rsid w:val="0052236F"/>
    <w:rsid w:val="00524854"/>
    <w:rsid w:val="00531EB3"/>
    <w:rsid w:val="0053287C"/>
    <w:rsid w:val="00534014"/>
    <w:rsid w:val="005356F8"/>
    <w:rsid w:val="00546843"/>
    <w:rsid w:val="005525E8"/>
    <w:rsid w:val="00557D56"/>
    <w:rsid w:val="00576C96"/>
    <w:rsid w:val="0059102E"/>
    <w:rsid w:val="00594117"/>
    <w:rsid w:val="005A0112"/>
    <w:rsid w:val="005B2697"/>
    <w:rsid w:val="005B3927"/>
    <w:rsid w:val="005C4B85"/>
    <w:rsid w:val="005D03BD"/>
    <w:rsid w:val="005D2907"/>
    <w:rsid w:val="005D5178"/>
    <w:rsid w:val="005E26E5"/>
    <w:rsid w:val="005E3C22"/>
    <w:rsid w:val="005F2FB2"/>
    <w:rsid w:val="005F40EF"/>
    <w:rsid w:val="005F7E9A"/>
    <w:rsid w:val="00611CFB"/>
    <w:rsid w:val="0062523C"/>
    <w:rsid w:val="0062672F"/>
    <w:rsid w:val="0062764E"/>
    <w:rsid w:val="006356AE"/>
    <w:rsid w:val="00637760"/>
    <w:rsid w:val="00644FA2"/>
    <w:rsid w:val="006522FF"/>
    <w:rsid w:val="00654F85"/>
    <w:rsid w:val="0065535C"/>
    <w:rsid w:val="00655DC5"/>
    <w:rsid w:val="00662EC6"/>
    <w:rsid w:val="0067292B"/>
    <w:rsid w:val="00674F68"/>
    <w:rsid w:val="006777D3"/>
    <w:rsid w:val="006917D6"/>
    <w:rsid w:val="006A3CE6"/>
    <w:rsid w:val="006A77C1"/>
    <w:rsid w:val="006B020B"/>
    <w:rsid w:val="006B11B8"/>
    <w:rsid w:val="006B2507"/>
    <w:rsid w:val="006C778F"/>
    <w:rsid w:val="006D48EA"/>
    <w:rsid w:val="006E1678"/>
    <w:rsid w:val="006F041B"/>
    <w:rsid w:val="006F1915"/>
    <w:rsid w:val="006F7998"/>
    <w:rsid w:val="006F799D"/>
    <w:rsid w:val="0070561B"/>
    <w:rsid w:val="00711357"/>
    <w:rsid w:val="0071158C"/>
    <w:rsid w:val="0072029A"/>
    <w:rsid w:val="00730EBB"/>
    <w:rsid w:val="007373BE"/>
    <w:rsid w:val="00741825"/>
    <w:rsid w:val="00752978"/>
    <w:rsid w:val="007A0A4E"/>
    <w:rsid w:val="007A0C51"/>
    <w:rsid w:val="007A1194"/>
    <w:rsid w:val="007A6D52"/>
    <w:rsid w:val="007D2F23"/>
    <w:rsid w:val="007E2DCF"/>
    <w:rsid w:val="007E4D2C"/>
    <w:rsid w:val="007F6333"/>
    <w:rsid w:val="007F67BA"/>
    <w:rsid w:val="008073BC"/>
    <w:rsid w:val="00812AAC"/>
    <w:rsid w:val="00830A73"/>
    <w:rsid w:val="00834106"/>
    <w:rsid w:val="00837030"/>
    <w:rsid w:val="0084174B"/>
    <w:rsid w:val="00854286"/>
    <w:rsid w:val="00860266"/>
    <w:rsid w:val="00861096"/>
    <w:rsid w:val="0086136B"/>
    <w:rsid w:val="0086643E"/>
    <w:rsid w:val="00877463"/>
    <w:rsid w:val="00880252"/>
    <w:rsid w:val="00887BD1"/>
    <w:rsid w:val="00887C62"/>
    <w:rsid w:val="008A1F0D"/>
    <w:rsid w:val="008B3C1A"/>
    <w:rsid w:val="008C3E9F"/>
    <w:rsid w:val="008D585D"/>
    <w:rsid w:val="008D58C2"/>
    <w:rsid w:val="008D6DA2"/>
    <w:rsid w:val="008E3568"/>
    <w:rsid w:val="008E7472"/>
    <w:rsid w:val="00901913"/>
    <w:rsid w:val="009025B7"/>
    <w:rsid w:val="009037ED"/>
    <w:rsid w:val="00913E2F"/>
    <w:rsid w:val="00916D03"/>
    <w:rsid w:val="009357BD"/>
    <w:rsid w:val="00946E7C"/>
    <w:rsid w:val="0095528E"/>
    <w:rsid w:val="00961979"/>
    <w:rsid w:val="0098120B"/>
    <w:rsid w:val="009832B4"/>
    <w:rsid w:val="00990542"/>
    <w:rsid w:val="009C22FF"/>
    <w:rsid w:val="009C5630"/>
    <w:rsid w:val="009D033F"/>
    <w:rsid w:val="009D7359"/>
    <w:rsid w:val="009E0F5F"/>
    <w:rsid w:val="009E1C95"/>
    <w:rsid w:val="00A216AD"/>
    <w:rsid w:val="00A603AE"/>
    <w:rsid w:val="00A71B27"/>
    <w:rsid w:val="00A744DF"/>
    <w:rsid w:val="00A81D45"/>
    <w:rsid w:val="00A84D0C"/>
    <w:rsid w:val="00A92695"/>
    <w:rsid w:val="00A929FD"/>
    <w:rsid w:val="00A935C4"/>
    <w:rsid w:val="00AA5D64"/>
    <w:rsid w:val="00AC1D32"/>
    <w:rsid w:val="00AD659C"/>
    <w:rsid w:val="00AE1AF3"/>
    <w:rsid w:val="00AE399F"/>
    <w:rsid w:val="00AE528C"/>
    <w:rsid w:val="00AE5D87"/>
    <w:rsid w:val="00AF3E78"/>
    <w:rsid w:val="00AF5BB9"/>
    <w:rsid w:val="00B02195"/>
    <w:rsid w:val="00B26122"/>
    <w:rsid w:val="00B46DDC"/>
    <w:rsid w:val="00B50DE9"/>
    <w:rsid w:val="00B71D33"/>
    <w:rsid w:val="00B764ED"/>
    <w:rsid w:val="00B832E7"/>
    <w:rsid w:val="00B93B6C"/>
    <w:rsid w:val="00B944D3"/>
    <w:rsid w:val="00BA3238"/>
    <w:rsid w:val="00BA3BA1"/>
    <w:rsid w:val="00BD3577"/>
    <w:rsid w:val="00BF0CCB"/>
    <w:rsid w:val="00BF235E"/>
    <w:rsid w:val="00BF5C48"/>
    <w:rsid w:val="00C01CA5"/>
    <w:rsid w:val="00C0235E"/>
    <w:rsid w:val="00C16454"/>
    <w:rsid w:val="00C16E24"/>
    <w:rsid w:val="00C17147"/>
    <w:rsid w:val="00C201CE"/>
    <w:rsid w:val="00C24854"/>
    <w:rsid w:val="00C368A9"/>
    <w:rsid w:val="00C4200B"/>
    <w:rsid w:val="00C53593"/>
    <w:rsid w:val="00C55195"/>
    <w:rsid w:val="00C615CC"/>
    <w:rsid w:val="00C647B7"/>
    <w:rsid w:val="00C76A25"/>
    <w:rsid w:val="00C76A8C"/>
    <w:rsid w:val="00CA0355"/>
    <w:rsid w:val="00CA55C1"/>
    <w:rsid w:val="00CB6469"/>
    <w:rsid w:val="00CC7554"/>
    <w:rsid w:val="00CC7B69"/>
    <w:rsid w:val="00CD4F11"/>
    <w:rsid w:val="00CD4FDE"/>
    <w:rsid w:val="00CD7780"/>
    <w:rsid w:val="00CF50B3"/>
    <w:rsid w:val="00D01008"/>
    <w:rsid w:val="00D10D85"/>
    <w:rsid w:val="00D27BFD"/>
    <w:rsid w:val="00D319E7"/>
    <w:rsid w:val="00D33720"/>
    <w:rsid w:val="00D4359E"/>
    <w:rsid w:val="00D47106"/>
    <w:rsid w:val="00D51206"/>
    <w:rsid w:val="00D55353"/>
    <w:rsid w:val="00D62AF6"/>
    <w:rsid w:val="00D647DC"/>
    <w:rsid w:val="00D673A9"/>
    <w:rsid w:val="00D67AFF"/>
    <w:rsid w:val="00D91EAE"/>
    <w:rsid w:val="00D96043"/>
    <w:rsid w:val="00DC05BF"/>
    <w:rsid w:val="00DD185E"/>
    <w:rsid w:val="00DD6CCC"/>
    <w:rsid w:val="00DE35D9"/>
    <w:rsid w:val="00DE3609"/>
    <w:rsid w:val="00DE44F5"/>
    <w:rsid w:val="00DF1138"/>
    <w:rsid w:val="00DF254F"/>
    <w:rsid w:val="00DF5F96"/>
    <w:rsid w:val="00DF774D"/>
    <w:rsid w:val="00E01A9E"/>
    <w:rsid w:val="00E03492"/>
    <w:rsid w:val="00E05341"/>
    <w:rsid w:val="00E139A5"/>
    <w:rsid w:val="00E1794E"/>
    <w:rsid w:val="00E269C1"/>
    <w:rsid w:val="00E26D87"/>
    <w:rsid w:val="00E27981"/>
    <w:rsid w:val="00E30D58"/>
    <w:rsid w:val="00E34BCA"/>
    <w:rsid w:val="00E34E5B"/>
    <w:rsid w:val="00E370C5"/>
    <w:rsid w:val="00E43CAD"/>
    <w:rsid w:val="00E57C37"/>
    <w:rsid w:val="00E605BF"/>
    <w:rsid w:val="00E6235C"/>
    <w:rsid w:val="00E77B5F"/>
    <w:rsid w:val="00E87E08"/>
    <w:rsid w:val="00EA2083"/>
    <w:rsid w:val="00EA50BF"/>
    <w:rsid w:val="00EB6912"/>
    <w:rsid w:val="00ED0FAC"/>
    <w:rsid w:val="00ED3C45"/>
    <w:rsid w:val="00ED6208"/>
    <w:rsid w:val="00ED797F"/>
    <w:rsid w:val="00EF69BE"/>
    <w:rsid w:val="00EF70CD"/>
    <w:rsid w:val="00F340CE"/>
    <w:rsid w:val="00F35016"/>
    <w:rsid w:val="00F43527"/>
    <w:rsid w:val="00F44693"/>
    <w:rsid w:val="00F47657"/>
    <w:rsid w:val="00F5493E"/>
    <w:rsid w:val="00F65AED"/>
    <w:rsid w:val="00F666B2"/>
    <w:rsid w:val="00F728E2"/>
    <w:rsid w:val="00F80E29"/>
    <w:rsid w:val="00F91C97"/>
    <w:rsid w:val="00F93D65"/>
    <w:rsid w:val="00F954DA"/>
    <w:rsid w:val="00FA5876"/>
    <w:rsid w:val="00FA59DA"/>
    <w:rsid w:val="00FD0364"/>
    <w:rsid w:val="00FE2664"/>
    <w:rsid w:val="00FF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B195BF"/>
  <w15:chartTrackingRefBased/>
  <w15:docId w15:val="{0DCFBCC2-6536-48AB-B390-19739884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46"/>
    <w:pPr>
      <w:widowControl w:val="0"/>
      <w:spacing w:after="0" w:line="240" w:lineRule="auto"/>
    </w:pPr>
    <w:rPr>
      <w:rFonts w:ascii="Verdana" w:hAnsi="Verdana" w:cs="Times New Roman"/>
      <w:snapToGrid w:val="0"/>
      <w:sz w:val="20"/>
      <w:szCs w:val="20"/>
      <w:lang w:eastAsia="fi-FI"/>
    </w:rPr>
  </w:style>
  <w:style w:type="paragraph" w:styleId="Heading1">
    <w:name w:val="heading 1"/>
    <w:aliases w:val="ECHA Heading 1"/>
    <w:basedOn w:val="Normal"/>
    <w:next w:val="BodyText"/>
    <w:link w:val="Heading1Char"/>
    <w:qFormat/>
    <w:rsid w:val="00202146"/>
    <w:pPr>
      <w:keepNext/>
      <w:keepLines/>
      <w:numPr>
        <w:numId w:val="12"/>
      </w:numPr>
      <w:spacing w:after="240"/>
      <w:outlineLvl w:val="0"/>
    </w:pPr>
    <w:rPr>
      <w:b/>
      <w:color w:val="0046AD"/>
      <w:sz w:val="28"/>
      <w:szCs w:val="24"/>
    </w:rPr>
  </w:style>
  <w:style w:type="paragraph" w:styleId="Heading2">
    <w:name w:val="heading 2"/>
    <w:aliases w:val="ECHA Heading 2"/>
    <w:basedOn w:val="Heading1"/>
    <w:next w:val="BodyText"/>
    <w:link w:val="Heading2Char"/>
    <w:qFormat/>
    <w:rsid w:val="00202146"/>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202146"/>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202146"/>
    <w:pPr>
      <w:numPr>
        <w:ilvl w:val="3"/>
      </w:numPr>
      <w:outlineLvl w:val="3"/>
    </w:pPr>
    <w:rPr>
      <w:bCs w:val="0"/>
      <w:szCs w:val="28"/>
    </w:rPr>
  </w:style>
  <w:style w:type="paragraph" w:styleId="Heading5">
    <w:name w:val="heading 5"/>
    <w:aliases w:val="ECHA Heading 5"/>
    <w:basedOn w:val="Heading3"/>
    <w:next w:val="BodyText"/>
    <w:link w:val="Heading5Char"/>
    <w:qFormat/>
    <w:rsid w:val="00202146"/>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202146"/>
    <w:pPr>
      <w:numPr>
        <w:ilvl w:val="5"/>
      </w:numPr>
      <w:outlineLvl w:val="5"/>
    </w:pPr>
    <w:rPr>
      <w:bCs/>
      <w:szCs w:val="22"/>
    </w:rPr>
  </w:style>
  <w:style w:type="paragraph" w:styleId="Heading7">
    <w:name w:val="heading 7"/>
    <w:aliases w:val="ECHA Heading 7"/>
    <w:basedOn w:val="Heading5"/>
    <w:next w:val="BodyText"/>
    <w:link w:val="Heading7Char"/>
    <w:qFormat/>
    <w:rsid w:val="00202146"/>
    <w:pPr>
      <w:numPr>
        <w:ilvl w:val="6"/>
      </w:numPr>
      <w:outlineLvl w:val="6"/>
    </w:pPr>
    <w:rPr>
      <w:szCs w:val="24"/>
    </w:rPr>
  </w:style>
  <w:style w:type="paragraph" w:styleId="Heading8">
    <w:name w:val="heading 8"/>
    <w:aliases w:val="ECHA Heading 8"/>
    <w:basedOn w:val="Heading5"/>
    <w:next w:val="BodyText"/>
    <w:link w:val="Heading8Char"/>
    <w:qFormat/>
    <w:rsid w:val="00202146"/>
    <w:pPr>
      <w:numPr>
        <w:ilvl w:val="7"/>
      </w:numPr>
      <w:outlineLvl w:val="7"/>
    </w:pPr>
    <w:rPr>
      <w:iCs w:val="0"/>
      <w:szCs w:val="24"/>
    </w:rPr>
  </w:style>
  <w:style w:type="paragraph" w:styleId="Heading9">
    <w:name w:val="heading 9"/>
    <w:aliases w:val="ECHA Heading 9"/>
    <w:basedOn w:val="Heading5"/>
    <w:next w:val="BodyText"/>
    <w:link w:val="Heading9Char"/>
    <w:qFormat/>
    <w:rsid w:val="00202146"/>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146"/>
    <w:rPr>
      <w:rFonts w:ascii="Tahoma" w:hAnsi="Tahoma" w:cs="Tahoma"/>
      <w:sz w:val="16"/>
      <w:szCs w:val="16"/>
    </w:rPr>
  </w:style>
  <w:style w:type="character" w:customStyle="1" w:styleId="BalloonTextChar">
    <w:name w:val="Balloon Text Char"/>
    <w:basedOn w:val="DefaultParagraphFont"/>
    <w:link w:val="BalloonText"/>
    <w:semiHidden/>
    <w:rsid w:val="00202146"/>
    <w:rPr>
      <w:rFonts w:ascii="Tahoma" w:eastAsia="Times New Roman" w:hAnsi="Tahoma" w:cs="Tahoma"/>
      <w:snapToGrid w:val="0"/>
      <w:sz w:val="16"/>
      <w:szCs w:val="16"/>
      <w:lang w:eastAsia="fi-FI"/>
    </w:rPr>
  </w:style>
  <w:style w:type="paragraph" w:styleId="BodyText">
    <w:name w:val="Body Text"/>
    <w:aliases w:val="Text"/>
    <w:basedOn w:val="Normal"/>
    <w:link w:val="BodyTextChar"/>
    <w:rsid w:val="00202146"/>
    <w:pPr>
      <w:spacing w:after="240"/>
    </w:pPr>
  </w:style>
  <w:style w:type="character" w:customStyle="1" w:styleId="BodyTextChar">
    <w:name w:val="Body Text Char"/>
    <w:aliases w:val="Text Char"/>
    <w:basedOn w:val="DefaultParagraphFont"/>
    <w:link w:val="BodyText"/>
    <w:rsid w:val="00202146"/>
    <w:rPr>
      <w:rFonts w:ascii="Verdana" w:eastAsia="Times New Roman" w:hAnsi="Verdana" w:cs="Times New Roman"/>
      <w:snapToGrid w:val="0"/>
      <w:sz w:val="20"/>
      <w:szCs w:val="20"/>
      <w:lang w:eastAsia="fi-FI"/>
    </w:rPr>
  </w:style>
  <w:style w:type="paragraph" w:styleId="BodyTextFirstIndent">
    <w:name w:val="Body Text First Indent"/>
    <w:basedOn w:val="BodyText"/>
    <w:link w:val="BodyTextFirstIndentChar"/>
    <w:semiHidden/>
    <w:rsid w:val="00202146"/>
    <w:pPr>
      <w:spacing w:after="120"/>
      <w:ind w:firstLine="210"/>
    </w:pPr>
  </w:style>
  <w:style w:type="character" w:customStyle="1" w:styleId="BodyTextFirstIndentChar">
    <w:name w:val="Body Text First Indent Char"/>
    <w:basedOn w:val="BodyTextChar"/>
    <w:link w:val="BodyTextFirstIndent"/>
    <w:semiHidden/>
    <w:rsid w:val="00202146"/>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202146"/>
    <w:pPr>
      <w:spacing w:after="120"/>
      <w:ind w:left="283"/>
    </w:pPr>
  </w:style>
  <w:style w:type="character" w:customStyle="1" w:styleId="BodyTextIndentChar">
    <w:name w:val="Body Text Indent Char"/>
    <w:basedOn w:val="DefaultParagraphFont"/>
    <w:link w:val="BodyTextIndent"/>
    <w:uiPriority w:val="99"/>
    <w:semiHidden/>
    <w:rsid w:val="00202146"/>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202146"/>
    <w:pPr>
      <w:spacing w:after="120"/>
      <w:ind w:left="283" w:firstLine="210"/>
    </w:pPr>
  </w:style>
  <w:style w:type="character" w:customStyle="1" w:styleId="BodyTextFirstIndent2Char">
    <w:name w:val="Body Text First Indent 2 Char"/>
    <w:basedOn w:val="BodyTextIndentChar"/>
    <w:link w:val="BodyTextFirstIndent2"/>
    <w:semiHidden/>
    <w:rsid w:val="00202146"/>
    <w:rPr>
      <w:rFonts w:ascii="Verdana" w:eastAsia="Times New Roman" w:hAnsi="Verdana" w:cs="Times New Roman"/>
      <w:snapToGrid w:val="0"/>
      <w:sz w:val="20"/>
      <w:szCs w:val="20"/>
      <w:lang w:eastAsia="fi-FI"/>
    </w:rPr>
  </w:style>
  <w:style w:type="character" w:customStyle="1" w:styleId="Bold">
    <w:name w:val="Bold"/>
    <w:basedOn w:val="DefaultParagraphFont"/>
    <w:rsid w:val="00202146"/>
    <w:rPr>
      <w:rFonts w:ascii="Verdana" w:hAnsi="Verdana"/>
      <w:b/>
      <w:sz w:val="20"/>
    </w:rPr>
  </w:style>
  <w:style w:type="paragraph" w:customStyle="1" w:styleId="BulletedList1-usermanual">
    <w:name w:val="Bulleted List 1 - user manual"/>
    <w:basedOn w:val="Normal"/>
    <w:rsid w:val="00202146"/>
    <w:pPr>
      <w:numPr>
        <w:numId w:val="1"/>
      </w:numPr>
      <w:spacing w:line="360" w:lineRule="auto"/>
    </w:pPr>
  </w:style>
  <w:style w:type="paragraph" w:styleId="Caption">
    <w:name w:val="caption"/>
    <w:basedOn w:val="Normal"/>
    <w:next w:val="Normal"/>
    <w:autoRedefine/>
    <w:unhideWhenUsed/>
    <w:qFormat/>
    <w:rsid w:val="00202146"/>
    <w:pPr>
      <w:spacing w:after="200"/>
    </w:pPr>
    <w:rPr>
      <w:b/>
      <w:bCs/>
      <w:sz w:val="18"/>
      <w:szCs w:val="18"/>
    </w:rPr>
  </w:style>
  <w:style w:type="character" w:styleId="CommentReference">
    <w:name w:val="annotation reference"/>
    <w:basedOn w:val="DefaultParagraphFont"/>
    <w:semiHidden/>
    <w:rsid w:val="00202146"/>
    <w:rPr>
      <w:sz w:val="16"/>
      <w:szCs w:val="16"/>
    </w:rPr>
  </w:style>
  <w:style w:type="paragraph" w:styleId="CommentText">
    <w:name w:val="annotation text"/>
    <w:basedOn w:val="Normal"/>
    <w:link w:val="CommentTextChar"/>
    <w:semiHidden/>
    <w:rsid w:val="00202146"/>
  </w:style>
  <w:style w:type="character" w:customStyle="1" w:styleId="CommentTextChar">
    <w:name w:val="Comment Text Char"/>
    <w:basedOn w:val="DefaultParagraphFont"/>
    <w:link w:val="CommentText"/>
    <w:semiHidden/>
    <w:rsid w:val="00202146"/>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202146"/>
    <w:rPr>
      <w:b/>
      <w:bCs/>
    </w:rPr>
  </w:style>
  <w:style w:type="character" w:customStyle="1" w:styleId="CommentSubjectChar">
    <w:name w:val="Comment Subject Char"/>
    <w:basedOn w:val="CommentTextChar"/>
    <w:link w:val="CommentSubject"/>
    <w:semiHidden/>
    <w:rsid w:val="00202146"/>
    <w:rPr>
      <w:rFonts w:ascii="Verdana" w:eastAsia="Times New Roman" w:hAnsi="Verdana" w:cs="Times New Roman"/>
      <w:b/>
      <w:bCs/>
      <w:snapToGrid w:val="0"/>
      <w:sz w:val="20"/>
      <w:szCs w:val="20"/>
      <w:lang w:eastAsia="fi-FI"/>
    </w:rPr>
  </w:style>
  <w:style w:type="paragraph" w:styleId="Footer">
    <w:name w:val="footer"/>
    <w:basedOn w:val="Normal"/>
    <w:link w:val="FooterChar"/>
    <w:rsid w:val="00202146"/>
    <w:pPr>
      <w:spacing w:line="160" w:lineRule="exact"/>
    </w:pPr>
    <w:rPr>
      <w:spacing w:val="2"/>
      <w:sz w:val="13"/>
    </w:rPr>
  </w:style>
  <w:style w:type="character" w:customStyle="1" w:styleId="FooterChar">
    <w:name w:val="Footer Char"/>
    <w:basedOn w:val="DefaultParagraphFont"/>
    <w:link w:val="Footer"/>
    <w:rsid w:val="00202146"/>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202146"/>
    <w:pPr>
      <w:spacing w:before="120" w:line="140" w:lineRule="exact"/>
    </w:pPr>
    <w:rPr>
      <w:spacing w:val="0"/>
      <w:sz w:val="11"/>
    </w:rPr>
  </w:style>
  <w:style w:type="numbering" w:customStyle="1" w:styleId="ECHABulletlist">
    <w:name w:val="ECHA Bullet list"/>
    <w:basedOn w:val="NoList"/>
    <w:rsid w:val="00202146"/>
    <w:pPr>
      <w:numPr>
        <w:numId w:val="2"/>
      </w:numPr>
    </w:pPr>
  </w:style>
  <w:style w:type="numbering" w:customStyle="1" w:styleId="ECHANumberlist">
    <w:name w:val="ECHA Number list"/>
    <w:basedOn w:val="NoList"/>
    <w:rsid w:val="00202146"/>
    <w:pPr>
      <w:numPr>
        <w:numId w:val="3"/>
      </w:numPr>
    </w:pPr>
  </w:style>
  <w:style w:type="paragraph" w:customStyle="1" w:styleId="Figurecaption">
    <w:name w:val="Figure caption"/>
    <w:basedOn w:val="BodyText"/>
    <w:link w:val="FigurecaptionChar"/>
    <w:autoRedefine/>
    <w:rsid w:val="00202146"/>
    <w:pPr>
      <w:spacing w:before="120" w:after="120"/>
    </w:pPr>
    <w:rPr>
      <w:b/>
    </w:rPr>
  </w:style>
  <w:style w:type="character" w:customStyle="1" w:styleId="FigurecaptionChar">
    <w:name w:val="Figure caption Char"/>
    <w:basedOn w:val="BodyTextChar"/>
    <w:link w:val="Figurecaption"/>
    <w:rsid w:val="00202146"/>
    <w:rPr>
      <w:rFonts w:ascii="Verdana" w:eastAsia="Times New Roman" w:hAnsi="Verdana" w:cs="Times New Roman"/>
      <w:b/>
      <w:snapToGrid w:val="0"/>
      <w:sz w:val="20"/>
      <w:szCs w:val="20"/>
      <w:lang w:eastAsia="fi-FI"/>
    </w:rPr>
  </w:style>
  <w:style w:type="character" w:styleId="FollowedHyperlink">
    <w:name w:val="FollowedHyperlink"/>
    <w:aliases w:val="Hyperlink opened"/>
    <w:basedOn w:val="DefaultParagraphFont"/>
    <w:rsid w:val="00202146"/>
    <w:rPr>
      <w:rFonts w:ascii="Verdana" w:hAnsi="Verdana"/>
      <w:color w:val="800080"/>
      <w:sz w:val="20"/>
      <w:u w:val="single"/>
    </w:rPr>
  </w:style>
  <w:style w:type="character" w:styleId="FootnoteReference">
    <w:name w:val="footnote reference"/>
    <w:aliases w:val="Footnote"/>
    <w:basedOn w:val="DefaultParagraphFont"/>
    <w:qFormat/>
    <w:rsid w:val="00202146"/>
    <w:rPr>
      <w:rFonts w:ascii="Verdana" w:hAnsi="Verdana"/>
      <w:sz w:val="18"/>
      <w:vertAlign w:val="superscript"/>
    </w:rPr>
  </w:style>
  <w:style w:type="paragraph" w:styleId="FootnoteText">
    <w:name w:val="footnote text"/>
    <w:basedOn w:val="Normal"/>
    <w:link w:val="FootnoteTextChar"/>
    <w:qFormat/>
    <w:rsid w:val="00202146"/>
    <w:rPr>
      <w:sz w:val="18"/>
    </w:rPr>
  </w:style>
  <w:style w:type="character" w:customStyle="1" w:styleId="FootnoteTextChar">
    <w:name w:val="Footnote Text Char"/>
    <w:basedOn w:val="DefaultParagraphFont"/>
    <w:link w:val="FootnoteText"/>
    <w:rsid w:val="00202146"/>
    <w:rPr>
      <w:rFonts w:ascii="Verdana" w:eastAsia="Times New Roman" w:hAnsi="Verdana" w:cs="Times New Roman"/>
      <w:snapToGrid w:val="0"/>
      <w:sz w:val="18"/>
      <w:szCs w:val="20"/>
      <w:lang w:eastAsia="fi-FI"/>
    </w:rPr>
  </w:style>
  <w:style w:type="paragraph" w:customStyle="1" w:styleId="Footnotes">
    <w:name w:val="Footnotes"/>
    <w:basedOn w:val="BodyText"/>
    <w:autoRedefine/>
    <w:qFormat/>
    <w:rsid w:val="00202146"/>
    <w:pPr>
      <w:spacing w:after="0"/>
    </w:pPr>
    <w:rPr>
      <w:sz w:val="18"/>
    </w:rPr>
  </w:style>
  <w:style w:type="paragraph" w:styleId="Header">
    <w:name w:val="header"/>
    <w:aliases w:val="Main"/>
    <w:basedOn w:val="Normal"/>
    <w:link w:val="HeaderChar"/>
    <w:rsid w:val="00202146"/>
    <w:pPr>
      <w:tabs>
        <w:tab w:val="left" w:pos="4536"/>
        <w:tab w:val="left" w:pos="7088"/>
        <w:tab w:val="left" w:pos="8789"/>
      </w:tabs>
    </w:pPr>
  </w:style>
  <w:style w:type="character" w:customStyle="1" w:styleId="HeaderChar">
    <w:name w:val="Header Char"/>
    <w:aliases w:val="Main Char"/>
    <w:basedOn w:val="DefaultParagraphFont"/>
    <w:link w:val="Header"/>
    <w:uiPriority w:val="99"/>
    <w:rsid w:val="00202146"/>
    <w:rPr>
      <w:rFonts w:ascii="Verdana" w:eastAsia="Times New Roman" w:hAnsi="Verdana" w:cs="Times New Roman"/>
      <w:snapToGrid w:val="0"/>
      <w:sz w:val="20"/>
      <w:szCs w:val="20"/>
      <w:lang w:eastAsia="fi-FI"/>
    </w:rPr>
  </w:style>
  <w:style w:type="character" w:customStyle="1" w:styleId="Heading1Char">
    <w:name w:val="Heading 1 Char"/>
    <w:aliases w:val="ECHA Heading 1 Char"/>
    <w:basedOn w:val="DefaultParagraphFont"/>
    <w:link w:val="Heading1"/>
    <w:rsid w:val="00202146"/>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202146"/>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202146"/>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202146"/>
    <w:rPr>
      <w:rFonts w:ascii="Verdana" w:eastAsia="Times New Roman" w:hAnsi="Verdana" w:cs="Arial"/>
      <w:b/>
      <w:snapToGrid w:val="0"/>
      <w:color w:val="000000"/>
      <w:szCs w:val="28"/>
      <w:lang w:eastAsia="fi-FI"/>
    </w:rPr>
  </w:style>
  <w:style w:type="character" w:customStyle="1" w:styleId="Heading5Char">
    <w:name w:val="Heading 5 Char"/>
    <w:aliases w:val="ECHA Heading 5 Char"/>
    <w:basedOn w:val="DefaultParagraphFont"/>
    <w:link w:val="Heading5"/>
    <w:rsid w:val="00202146"/>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202146"/>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202146"/>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202146"/>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202146"/>
    <w:rPr>
      <w:rFonts w:ascii="Verdana" w:eastAsia="Times New Roman" w:hAnsi="Verdana" w:cs="Arial"/>
      <w:b/>
      <w:iCs/>
      <w:snapToGrid w:val="0"/>
      <w:color w:val="000000"/>
      <w:sz w:val="20"/>
      <w:lang w:eastAsia="fi-FI"/>
    </w:rPr>
  </w:style>
  <w:style w:type="character" w:styleId="Hyperlink">
    <w:name w:val="Hyperlink"/>
    <w:basedOn w:val="DefaultParagraphFont"/>
    <w:uiPriority w:val="99"/>
    <w:rsid w:val="00202146"/>
    <w:rPr>
      <w:rFonts w:ascii="Verdana" w:hAnsi="Verdana"/>
      <w:color w:val="0000FF"/>
      <w:sz w:val="20"/>
      <w:u w:val="single"/>
    </w:rPr>
  </w:style>
  <w:style w:type="character" w:customStyle="1" w:styleId="Italic">
    <w:name w:val="Italic"/>
    <w:basedOn w:val="DefaultParagraphFont"/>
    <w:rsid w:val="00202146"/>
    <w:rPr>
      <w:rFonts w:ascii="Verdana" w:hAnsi="Verdana"/>
      <w:i/>
      <w:sz w:val="20"/>
    </w:rPr>
  </w:style>
  <w:style w:type="paragraph" w:customStyle="1" w:styleId="Leipteksti1">
    <w:name w:val="Leipäteksti1"/>
    <w:basedOn w:val="Normal"/>
    <w:semiHidden/>
    <w:rsid w:val="00202146"/>
    <w:pPr>
      <w:ind w:left="2608"/>
    </w:pPr>
    <w:rPr>
      <w:szCs w:val="24"/>
    </w:rPr>
  </w:style>
  <w:style w:type="table" w:styleId="LightList-Accent1">
    <w:name w:val="Light List Accent 1"/>
    <w:basedOn w:val="TableNormal"/>
    <w:uiPriority w:val="61"/>
    <w:rsid w:val="00202146"/>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BodyText"/>
    <w:rsid w:val="00202146"/>
    <w:pPr>
      <w:numPr>
        <w:numId w:val="13"/>
      </w:numPr>
    </w:pPr>
  </w:style>
  <w:style w:type="character" w:styleId="PageNumber">
    <w:name w:val="page number"/>
    <w:aliases w:val="Page number"/>
    <w:basedOn w:val="DefaultParagraphFont"/>
    <w:rsid w:val="00202146"/>
    <w:rPr>
      <w:rFonts w:ascii="Verdana" w:hAnsi="Verdana"/>
      <w:sz w:val="20"/>
    </w:rPr>
  </w:style>
  <w:style w:type="character" w:styleId="SubtleEmphasis">
    <w:name w:val="Subtle Emphasis"/>
    <w:basedOn w:val="DefaultParagraphFont"/>
    <w:uiPriority w:val="19"/>
    <w:rsid w:val="00202146"/>
    <w:rPr>
      <w:i/>
      <w:iCs/>
      <w:color w:val="808080" w:themeColor="text1" w:themeTint="7F"/>
    </w:rPr>
  </w:style>
  <w:style w:type="paragraph" w:customStyle="1" w:styleId="Tablecaption">
    <w:name w:val="Table caption"/>
    <w:basedOn w:val="BodyText"/>
    <w:link w:val="TablecaptionChar"/>
    <w:autoRedefine/>
    <w:rsid w:val="00202146"/>
    <w:pPr>
      <w:spacing w:before="120" w:after="120"/>
    </w:pPr>
    <w:rPr>
      <w:b/>
    </w:rPr>
  </w:style>
  <w:style w:type="character" w:customStyle="1" w:styleId="TablecaptionChar">
    <w:name w:val="Table caption Char"/>
    <w:basedOn w:val="BodyTextChar"/>
    <w:link w:val="Tablecaption"/>
    <w:rsid w:val="00202146"/>
    <w:rPr>
      <w:rFonts w:ascii="Verdana" w:eastAsia="Times New Roman" w:hAnsi="Verdana" w:cs="Times New Roman"/>
      <w:b/>
      <w:snapToGrid w:val="0"/>
      <w:sz w:val="20"/>
      <w:szCs w:val="20"/>
      <w:lang w:eastAsia="fi-FI"/>
    </w:rPr>
  </w:style>
  <w:style w:type="table" w:styleId="TableColorful1">
    <w:name w:val="Table Colorful 1"/>
    <w:basedOn w:val="TableNormal"/>
    <w:rsid w:val="00202146"/>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202146"/>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202146"/>
    <w:pPr>
      <w:spacing w:after="120"/>
    </w:pPr>
    <w:rPr>
      <w:b/>
      <w:color w:val="FFCC00"/>
      <w:sz w:val="18"/>
      <w:szCs w:val="18"/>
    </w:rPr>
  </w:style>
  <w:style w:type="paragraph" w:customStyle="1" w:styleId="Tabletext">
    <w:name w:val="Tabletext"/>
    <w:basedOn w:val="BodyText"/>
    <w:rsid w:val="00202146"/>
    <w:pPr>
      <w:spacing w:after="0"/>
    </w:pPr>
    <w:rPr>
      <w:sz w:val="18"/>
    </w:rPr>
  </w:style>
  <w:style w:type="paragraph" w:styleId="TOC1">
    <w:name w:val="toc 1"/>
    <w:basedOn w:val="Normal"/>
    <w:next w:val="Normal"/>
    <w:autoRedefine/>
    <w:uiPriority w:val="39"/>
    <w:qFormat/>
    <w:rsid w:val="00202146"/>
    <w:pPr>
      <w:tabs>
        <w:tab w:val="right" w:leader="dot" w:pos="9639"/>
      </w:tabs>
      <w:spacing w:after="120"/>
      <w:ind w:left="425" w:hanging="425"/>
    </w:pPr>
    <w:rPr>
      <w:b/>
      <w:noProof/>
    </w:rPr>
  </w:style>
  <w:style w:type="paragraph" w:styleId="TOC2">
    <w:name w:val="toc 2"/>
    <w:basedOn w:val="Normal"/>
    <w:next w:val="Normal"/>
    <w:autoRedefine/>
    <w:uiPriority w:val="39"/>
    <w:qFormat/>
    <w:rsid w:val="00202146"/>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02146"/>
    <w:pPr>
      <w:tabs>
        <w:tab w:val="right" w:leader="dot" w:pos="9639"/>
      </w:tabs>
      <w:spacing w:after="120"/>
      <w:ind w:left="851" w:hanging="851"/>
    </w:pPr>
    <w:rPr>
      <w:sz w:val="18"/>
    </w:rPr>
  </w:style>
  <w:style w:type="paragraph" w:styleId="TOC4">
    <w:name w:val="toc 4"/>
    <w:basedOn w:val="Normal"/>
    <w:next w:val="Normal"/>
    <w:autoRedefine/>
    <w:uiPriority w:val="39"/>
    <w:semiHidden/>
    <w:rsid w:val="00202146"/>
    <w:pPr>
      <w:spacing w:after="100"/>
      <w:ind w:left="600"/>
    </w:pPr>
  </w:style>
  <w:style w:type="paragraph" w:styleId="TOC5">
    <w:name w:val="toc 5"/>
    <w:basedOn w:val="Normal"/>
    <w:next w:val="Normal"/>
    <w:autoRedefine/>
    <w:uiPriority w:val="39"/>
    <w:semiHidden/>
    <w:rsid w:val="00202146"/>
    <w:pPr>
      <w:spacing w:after="100"/>
      <w:ind w:left="800"/>
    </w:pPr>
  </w:style>
  <w:style w:type="paragraph" w:styleId="TOC6">
    <w:name w:val="toc 6"/>
    <w:basedOn w:val="Normal"/>
    <w:next w:val="Normal"/>
    <w:autoRedefine/>
    <w:uiPriority w:val="39"/>
    <w:semiHidden/>
    <w:rsid w:val="00202146"/>
    <w:pPr>
      <w:spacing w:after="100"/>
      <w:ind w:left="1000"/>
    </w:pPr>
  </w:style>
  <w:style w:type="paragraph" w:styleId="TOC7">
    <w:name w:val="toc 7"/>
    <w:basedOn w:val="Normal"/>
    <w:next w:val="Normal"/>
    <w:autoRedefine/>
    <w:uiPriority w:val="39"/>
    <w:semiHidden/>
    <w:rsid w:val="00202146"/>
    <w:pPr>
      <w:spacing w:after="100"/>
      <w:ind w:left="1200"/>
    </w:pPr>
  </w:style>
  <w:style w:type="paragraph" w:styleId="TOC8">
    <w:name w:val="toc 8"/>
    <w:basedOn w:val="Normal"/>
    <w:next w:val="Normal"/>
    <w:autoRedefine/>
    <w:uiPriority w:val="39"/>
    <w:semiHidden/>
    <w:rsid w:val="00202146"/>
    <w:pPr>
      <w:spacing w:after="100"/>
      <w:ind w:left="1400"/>
    </w:pPr>
  </w:style>
  <w:style w:type="paragraph" w:styleId="TOC9">
    <w:name w:val="toc 9"/>
    <w:basedOn w:val="Normal"/>
    <w:next w:val="Normal"/>
    <w:autoRedefine/>
    <w:uiPriority w:val="39"/>
    <w:semiHidden/>
    <w:rsid w:val="00202146"/>
    <w:pPr>
      <w:spacing w:after="100"/>
      <w:ind w:left="1600"/>
    </w:pPr>
  </w:style>
  <w:style w:type="paragraph" w:styleId="TOCHeading">
    <w:name w:val="TOC Heading"/>
    <w:basedOn w:val="Heading1"/>
    <w:next w:val="Normal"/>
    <w:uiPriority w:val="39"/>
    <w:unhideWhenUsed/>
    <w:qFormat/>
    <w:rsid w:val="00202146"/>
    <w:pPr>
      <w:widowControl/>
      <w:numPr>
        <w:numId w:val="0"/>
      </w:numPr>
      <w:spacing w:before="480" w:line="276" w:lineRule="auto"/>
      <w:outlineLvl w:val="9"/>
    </w:pPr>
    <w:rPr>
      <w:rFonts w:eastAsiaTheme="majorEastAsia" w:cstheme="majorBidi"/>
      <w:bCs/>
      <w:snapToGrid/>
      <w:szCs w:val="28"/>
      <w:lang w:eastAsia="en-GB"/>
    </w:rPr>
  </w:style>
  <w:style w:type="paragraph" w:styleId="ListParagraph">
    <w:name w:val="List Paragraph"/>
    <w:basedOn w:val="Normal"/>
    <w:uiPriority w:val="34"/>
    <w:qFormat/>
    <w:rsid w:val="00A92695"/>
    <w:pPr>
      <w:ind w:left="720"/>
      <w:contextualSpacing/>
    </w:pPr>
  </w:style>
  <w:style w:type="paragraph" w:styleId="Date">
    <w:name w:val="Date"/>
    <w:basedOn w:val="Normal"/>
    <w:next w:val="References"/>
    <w:link w:val="DateChar"/>
    <w:rsid w:val="004E3A10"/>
    <w:pPr>
      <w:widowControl/>
      <w:ind w:left="5103" w:right="-567"/>
    </w:pPr>
    <w:rPr>
      <w:rFonts w:ascii="Times New Roman" w:hAnsi="Times New Roman"/>
      <w:snapToGrid/>
      <w:sz w:val="24"/>
      <w:lang w:eastAsia="en-GB"/>
    </w:rPr>
  </w:style>
  <w:style w:type="character" w:customStyle="1" w:styleId="DateChar">
    <w:name w:val="Date Char"/>
    <w:basedOn w:val="DefaultParagraphFont"/>
    <w:link w:val="Date"/>
    <w:rsid w:val="004E3A10"/>
    <w:rPr>
      <w:rFonts w:ascii="Times New Roman" w:hAnsi="Times New Roman" w:cs="Times New Roman"/>
      <w:sz w:val="24"/>
      <w:szCs w:val="20"/>
      <w:lang w:eastAsia="en-GB"/>
    </w:rPr>
  </w:style>
  <w:style w:type="paragraph" w:customStyle="1" w:styleId="References">
    <w:name w:val="References"/>
    <w:basedOn w:val="Normal"/>
    <w:next w:val="Normal"/>
    <w:rsid w:val="004E3A10"/>
    <w:pPr>
      <w:widowControl/>
      <w:spacing w:after="240"/>
      <w:ind w:left="5103"/>
    </w:pPr>
    <w:rPr>
      <w:rFonts w:ascii="Times New Roman" w:hAnsi="Times New Roman"/>
      <w:snapToGrid/>
      <w:lang w:eastAsia="en-GB"/>
    </w:rPr>
  </w:style>
  <w:style w:type="character" w:styleId="PlaceholderText">
    <w:name w:val="Placeholder Text"/>
    <w:basedOn w:val="DefaultParagraphFont"/>
    <w:uiPriority w:val="99"/>
    <w:semiHidden/>
    <w:rsid w:val="004E3A10"/>
    <w:rPr>
      <w:color w:val="808080"/>
    </w:rPr>
  </w:style>
  <w:style w:type="paragraph" w:styleId="Revision">
    <w:name w:val="Revision"/>
    <w:hidden/>
    <w:uiPriority w:val="99"/>
    <w:semiHidden/>
    <w:rsid w:val="000B447B"/>
    <w:pPr>
      <w:spacing w:after="0" w:line="240" w:lineRule="auto"/>
    </w:pPr>
    <w:rPr>
      <w:rFonts w:ascii="Verdana" w:hAnsi="Verdana" w:cs="Times New Roman"/>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0026">
      <w:bodyDiv w:val="1"/>
      <w:marLeft w:val="0"/>
      <w:marRight w:val="0"/>
      <w:marTop w:val="0"/>
      <w:marBottom w:val="0"/>
      <w:divBdr>
        <w:top w:val="none" w:sz="0" w:space="0" w:color="auto"/>
        <w:left w:val="none" w:sz="0" w:space="0" w:color="auto"/>
        <w:bottom w:val="none" w:sz="0" w:space="0" w:color="auto"/>
        <w:right w:val="none" w:sz="0" w:space="0" w:color="auto"/>
      </w:divBdr>
    </w:div>
    <w:div w:id="1252855872">
      <w:bodyDiv w:val="1"/>
      <w:marLeft w:val="0"/>
      <w:marRight w:val="0"/>
      <w:marTop w:val="0"/>
      <w:marBottom w:val="0"/>
      <w:divBdr>
        <w:top w:val="none" w:sz="0" w:space="0" w:color="auto"/>
        <w:left w:val="none" w:sz="0" w:space="0" w:color="auto"/>
        <w:bottom w:val="none" w:sz="0" w:space="0" w:color="auto"/>
        <w:right w:val="none" w:sz="0" w:space="0" w:color="auto"/>
      </w:divBdr>
    </w:div>
    <w:div w:id="1344548118">
      <w:bodyDiv w:val="1"/>
      <w:marLeft w:val="0"/>
      <w:marRight w:val="0"/>
      <w:marTop w:val="0"/>
      <w:marBottom w:val="0"/>
      <w:divBdr>
        <w:top w:val="none" w:sz="0" w:space="0" w:color="auto"/>
        <w:left w:val="none" w:sz="0" w:space="0" w:color="auto"/>
        <w:bottom w:val="none" w:sz="0" w:space="0" w:color="auto"/>
        <w:right w:val="none" w:sz="0" w:space="0" w:color="auto"/>
      </w:divBdr>
    </w:div>
    <w:div w:id="1480266577">
      <w:bodyDiv w:val="1"/>
      <w:marLeft w:val="0"/>
      <w:marRight w:val="0"/>
      <w:marTop w:val="0"/>
      <w:marBottom w:val="0"/>
      <w:divBdr>
        <w:top w:val="none" w:sz="0" w:space="0" w:color="auto"/>
        <w:left w:val="none" w:sz="0" w:space="0" w:color="auto"/>
        <w:bottom w:val="none" w:sz="0" w:space="0" w:color="auto"/>
        <w:right w:val="none" w:sz="0" w:space="0" w:color="auto"/>
      </w:divBdr>
    </w:div>
    <w:div w:id="15663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3F7EAE5EE47249A7D791F58660F43"/>
        <w:category>
          <w:name w:val="General"/>
          <w:gallery w:val="placeholder"/>
        </w:category>
        <w:types>
          <w:type w:val="bbPlcHdr"/>
        </w:types>
        <w:behaviors>
          <w:behavior w:val="content"/>
        </w:behaviors>
        <w:guid w:val="{01F36823-60A3-4048-BFE2-C645E01DEB49}"/>
      </w:docPartPr>
      <w:docPartBody>
        <w:p w:rsidR="00FF60F5" w:rsidRDefault="00BE23B8" w:rsidP="00BE23B8">
          <w:pPr>
            <w:pStyle w:val="9203F7EAE5EE47249A7D791F58660F43"/>
          </w:pPr>
          <w:r w:rsidRPr="00DA37FC">
            <w:rPr>
              <w:rStyle w:val="PlaceholderText"/>
            </w:rPr>
            <w:t>Choose an item.</w:t>
          </w:r>
        </w:p>
      </w:docPartBody>
    </w:docPart>
    <w:docPart>
      <w:docPartPr>
        <w:name w:val="BD04C775C2CB4D6388FDF83AA98D47FD"/>
        <w:category>
          <w:name w:val="General"/>
          <w:gallery w:val="placeholder"/>
        </w:category>
        <w:types>
          <w:type w:val="bbPlcHdr"/>
        </w:types>
        <w:behaviors>
          <w:behavior w:val="content"/>
        </w:behaviors>
        <w:guid w:val="{EB437AB3-F22D-445F-A4F2-2DE097EA329C}"/>
      </w:docPartPr>
      <w:docPartBody>
        <w:p w:rsidR="008C07DA" w:rsidRDefault="005C72E1" w:rsidP="005C72E1">
          <w:pPr>
            <w:pStyle w:val="BD04C775C2CB4D6388FDF83AA98D47FD"/>
          </w:pPr>
          <w:r w:rsidRPr="00DA3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8"/>
    <w:rsid w:val="00256D68"/>
    <w:rsid w:val="005C72E1"/>
    <w:rsid w:val="008C07DA"/>
    <w:rsid w:val="00BE23B8"/>
    <w:rsid w:val="00FF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2E1"/>
    <w:rPr>
      <w:color w:val="808080"/>
    </w:rPr>
  </w:style>
  <w:style w:type="paragraph" w:customStyle="1" w:styleId="9203F7EAE5EE47249A7D791F58660F43">
    <w:name w:val="9203F7EAE5EE47249A7D791F58660F43"/>
    <w:rsid w:val="00BE23B8"/>
  </w:style>
  <w:style w:type="paragraph" w:customStyle="1" w:styleId="6FDD139D2FBA4CBB87C51050AD9ED60D">
    <w:name w:val="6FDD139D2FBA4CBB87C51050AD9ED60D"/>
    <w:rsid w:val="00BE23B8"/>
  </w:style>
  <w:style w:type="paragraph" w:customStyle="1" w:styleId="3080F5100D334E8EB9DC5599CD0E43A4">
    <w:name w:val="3080F5100D334E8EB9DC5599CD0E43A4"/>
    <w:rsid w:val="00BE23B8"/>
  </w:style>
  <w:style w:type="paragraph" w:customStyle="1" w:styleId="AB7F72F8873542D691C0F2BDC50CC64C">
    <w:name w:val="AB7F72F8873542D691C0F2BDC50CC64C"/>
    <w:rsid w:val="00256D68"/>
  </w:style>
  <w:style w:type="paragraph" w:customStyle="1" w:styleId="BD04C775C2CB4D6388FDF83AA98D47FD">
    <w:name w:val="BD04C775C2CB4D6388FDF83AA98D47FD"/>
    <w:rsid w:val="005C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0dd6ab-43bf-4d9d-bb1e-742532452846">
      <Value>8</Value>
      <Value>9</Value>
      <Value>1</Value>
    </TaxCatchAll>
    <_dlc_DocId xmlns="5bcca709-0b09-4b74-bfa0-2137a84c1763">ACTV12-16-54689</_dlc_DocId>
    <_dlc_DocIdUrl xmlns="5bcca709-0b09-4b74-bfa0-2137a84c1763">
      <Url>https://activity.echa.europa.eu/sites/act-12/process-12-2/_layouts/15/DocIdRedir.aspx?ID=ACTV12-16-54689</Url>
      <Description>ACTV12-16-54689</Description>
    </_dlc_DocIdUrl>
    <ECHADocumentTypeTaxHTField0 xmlns="40b551e6-586e-43da-886d-804d964ed37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DocumentTypeTaxHTField0>
    <ECHASecClassTaxHTField0 xmlns="40b551e6-586e-43da-886d-804d964ed37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40b551e6-586e-43da-886d-804d964ed37d">
      <Terms xmlns="http://schemas.microsoft.com/office/infopath/2007/PartnerControls">
        <TermInfo xmlns="http://schemas.microsoft.com/office/infopath/2007/PartnerControls">
          <TermName xmlns="http://schemas.microsoft.com/office/infopath/2007/PartnerControls">12.02.01 Relations with institutional partners</TermName>
          <TermId xmlns="http://schemas.microsoft.com/office/infopath/2007/PartnerControls">0a064317-7279-413c-a3ea-bfb0147d6f4d</TermId>
        </TermInfo>
      </Terms>
    </ECHACategoryTaxHTField0>
    <ECHAProcessTaxHTField0 xmlns="40b551e6-586e-43da-886d-804d964ed37d">
      <Terms xmlns="http://schemas.microsoft.com/office/infopath/2007/PartnerControls">
        <TermInfo xmlns="http://schemas.microsoft.com/office/infopath/2007/PartnerControls">
          <TermName xmlns="http://schemas.microsoft.com/office/infopath/2007/PartnerControls">12.02 Steering relations with ECHA's Stakeholders and staff</TermName>
          <TermId xmlns="http://schemas.microsoft.com/office/infopath/2007/PartnerControls">b01b9e8a-447c-4804-b90f-3d561c346a41</TermId>
        </TermInfo>
      </Terms>
    </ECHAProces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A57A70E258987645AB734C2C5119AFAD" ma:contentTypeVersion="28" ma:contentTypeDescription="Content type for ECHA process documents" ma:contentTypeScope="" ma:versionID="1499b00c789bd33aaec5f4f68ea56222">
  <xsd:schema xmlns:xsd="http://www.w3.org/2001/XMLSchema" xmlns:xs="http://www.w3.org/2001/XMLSchema" xmlns:p="http://schemas.microsoft.com/office/2006/metadata/properties" xmlns:ns2="40b551e6-586e-43da-886d-804d964ed37d" xmlns:ns3="5bcca709-0b09-4b74-bfa0-2137a84c1763" xmlns:ns4="d80dd6ab-43bf-4d9d-bb1e-742532452846" xmlns:ns5="b80ede5c-af4c-4bf2-9a87-706a3579dc11" targetNamespace="http://schemas.microsoft.com/office/2006/metadata/properties" ma:root="true" ma:fieldsID="ffa17b154b725b03c8238bdb49212a6b" ns2:_="" ns3:_="" ns4:_="" ns5:_="">
    <xsd:import namespace="40b551e6-586e-43da-886d-804d964ed37d"/>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51e6-586e-43da-886d-804d964ed37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default="1;#Internal|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6cc6e7c6-6e78-4c2b-8d6c-4a808fe0fae3" ma:anchorId="7a6127b9-7e49-4b78-b467-16baee45d38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A69C-F2BA-4219-80F3-7C108404EFE6}">
  <ds:schemaRefs>
    <ds:schemaRef ds:uri="http://schemas.microsoft.com/sharepoint/v3/contenttype/forms"/>
  </ds:schemaRefs>
</ds:datastoreItem>
</file>

<file path=customXml/itemProps2.xml><?xml version="1.0" encoding="utf-8"?>
<ds:datastoreItem xmlns:ds="http://schemas.openxmlformats.org/officeDocument/2006/customXml" ds:itemID="{F98B664C-41DF-48AA-BF5E-DEACE866A350}">
  <ds:schemaRefs>
    <ds:schemaRef ds:uri="5bcca709-0b09-4b74-bfa0-2137a84c1763"/>
    <ds:schemaRef ds:uri="b80ede5c-af4c-4bf2-9a87-706a3579dc11"/>
    <ds:schemaRef ds:uri="http://purl.org/dc/elements/1.1/"/>
    <ds:schemaRef ds:uri="http://schemas.microsoft.com/office/2006/metadata/properties"/>
    <ds:schemaRef ds:uri="40b551e6-586e-43da-886d-804d964ed3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0dd6ab-43bf-4d9d-bb1e-742532452846"/>
    <ds:schemaRef ds:uri="http://www.w3.org/XML/1998/namespace"/>
    <ds:schemaRef ds:uri="http://purl.org/dc/dcmitype/"/>
  </ds:schemaRefs>
</ds:datastoreItem>
</file>

<file path=customXml/itemProps3.xml><?xml version="1.0" encoding="utf-8"?>
<ds:datastoreItem xmlns:ds="http://schemas.openxmlformats.org/officeDocument/2006/customXml" ds:itemID="{CFF65FF0-30B0-4C19-A5A2-DF7404381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51e6-586e-43da-886d-804d964ed37d"/>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6C754-6542-49FA-8A05-6D89C3423C7A}">
  <ds:schemaRefs>
    <ds:schemaRef ds:uri="Microsoft.SharePoint.Taxonomy.ContentTypeSync"/>
  </ds:schemaRefs>
</ds:datastoreItem>
</file>

<file path=customXml/itemProps5.xml><?xml version="1.0" encoding="utf-8"?>
<ds:datastoreItem xmlns:ds="http://schemas.openxmlformats.org/officeDocument/2006/customXml" ds:itemID="{CDCD6F7C-FA03-42E9-9000-3160A5DCFEF9}">
  <ds:schemaRefs>
    <ds:schemaRef ds:uri="http://schemas.microsoft.com/sharepoint/events"/>
  </ds:schemaRefs>
</ds:datastoreItem>
</file>

<file path=customXml/itemProps6.xml><?xml version="1.0" encoding="utf-8"?>
<ds:datastoreItem xmlns:ds="http://schemas.openxmlformats.org/officeDocument/2006/customXml" ds:itemID="{DE2B1AEA-1DC6-46DB-87DF-66FC74FB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2235</Words>
  <Characters>12384</Characters>
  <Application>Microsoft Office Word</Application>
  <DocSecurity>0</DocSecurity>
  <Lines>225</Lines>
  <Paragraphs>76</Paragraphs>
  <ScaleCrop>false</ScaleCrop>
  <HeadingPairs>
    <vt:vector size="2" baseType="variant">
      <vt:variant>
        <vt:lpstr>Title</vt:lpstr>
      </vt:variant>
      <vt:variant>
        <vt:i4>1</vt:i4>
      </vt:variant>
    </vt:vector>
  </HeadingPairs>
  <TitlesOfParts>
    <vt:vector size="1" baseType="lpstr">
      <vt:lpstr>Revocation paper CARACAL</vt:lpstr>
    </vt:vector>
  </TitlesOfParts>
  <Company>European Chemicals Agency</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paper CARACAL</dc:title>
  <dc:subject/>
  <dc:creator>BELMONTE SANCHEZ Maria Jose</dc:creator>
  <cp:keywords/>
  <dc:description/>
  <cp:lastModifiedBy>KUSENDILA Christophe (GROW)</cp:lastModifiedBy>
  <cp:revision>6</cp:revision>
  <cp:lastPrinted>2020-03-09T15:42:00Z</cp:lastPrinted>
  <dcterms:created xsi:type="dcterms:W3CDTF">2020-10-26T16:39:00Z</dcterms:created>
  <dcterms:modified xsi:type="dcterms:W3CDTF">2020-10-30T09:25:00Z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0x010100B558917389A54ADDB58930FBD7E6FD57008586DED9191B4C4CBD31A5DF7F304A7100A57A70E258987645AB734C2C5119AFAD</vt:lpwstr>
  </property>
  <property fmtid="{D5CDD505-2E9C-101B-9397-08002B2CF9AE}" pid="3" name="_dlc_DocIdItemGuid">
    <vt:lpwstr>3c564a61-fc81-43e2-8106-e7a4f9fd76a2</vt:lpwstr>
  </property>
  <property fmtid="{D5CDD505-2E9C-101B-9397-08002B2CF9AE}" pid="4" name="ECHAProcess">
    <vt:lpwstr>8;#12.02 Steering relations with ECHA's Stakeholders and staff|b01b9e8a-447c-4804-b90f-3d561c346a41</vt:lpwstr>
  </property>
  <property fmtid="{D5CDD505-2E9C-101B-9397-08002B2CF9AE}" pid="5" name="ECHADocumentType">
    <vt:lpwstr/>
  </property>
  <property fmtid="{D5CDD505-2E9C-101B-9397-08002B2CF9AE}" pid="6" name="ECHASecClass">
    <vt:lpwstr>1;#Internal|a0307bc2-faf9-4068-8aeb-b713e4fa2a0f</vt:lpwstr>
  </property>
  <property fmtid="{D5CDD505-2E9C-101B-9397-08002B2CF9AE}" pid="7" name="ECHACategory">
    <vt:lpwstr>9;#12.02.01 Relations with institutional partners|0a064317-7279-413c-a3ea-bfb0147d6f4d</vt:lpwstr>
  </property>
</Properties>
</file>